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6F" w:rsidRPr="00B96D6F" w:rsidRDefault="00B96D6F" w:rsidP="00B96D6F">
      <w:pPr>
        <w:jc w:val="center"/>
        <w:rPr>
          <w:b/>
          <w:bCs/>
        </w:rPr>
      </w:pPr>
      <w:r w:rsidRPr="00B96D6F">
        <w:rPr>
          <w:b/>
          <w:bCs/>
        </w:rPr>
        <w:t>Калужская область Людиновский район</w:t>
      </w:r>
    </w:p>
    <w:p w:rsidR="00B96D6F" w:rsidRPr="00B96D6F" w:rsidRDefault="00B96D6F" w:rsidP="00B96D6F">
      <w:pPr>
        <w:jc w:val="center"/>
        <w:rPr>
          <w:b/>
          <w:bCs/>
        </w:rPr>
      </w:pPr>
      <w:r w:rsidRPr="00B96D6F">
        <w:rPr>
          <w:b/>
          <w:bCs/>
        </w:rPr>
        <w:t>СЕЛЬСКАЯ ДУМА</w:t>
      </w:r>
    </w:p>
    <w:p w:rsidR="00B96D6F" w:rsidRPr="00B96D6F" w:rsidRDefault="00B96D6F" w:rsidP="00B96D6F">
      <w:pPr>
        <w:jc w:val="center"/>
        <w:rPr>
          <w:b/>
          <w:bCs/>
        </w:rPr>
      </w:pPr>
      <w:r w:rsidRPr="00B96D6F">
        <w:rPr>
          <w:b/>
          <w:bCs/>
        </w:rPr>
        <w:t>сельского поселения «Деревня Игнатовка»</w:t>
      </w:r>
    </w:p>
    <w:p w:rsidR="00B96D6F" w:rsidRPr="00B96D6F" w:rsidRDefault="00B96D6F" w:rsidP="00B96D6F">
      <w:pPr>
        <w:jc w:val="center"/>
        <w:rPr>
          <w:b/>
          <w:bCs/>
        </w:rPr>
      </w:pPr>
    </w:p>
    <w:p w:rsidR="00B96D6F" w:rsidRPr="00B96D6F" w:rsidRDefault="00B96D6F" w:rsidP="00B96D6F">
      <w:pPr>
        <w:jc w:val="center"/>
        <w:rPr>
          <w:b/>
          <w:bCs/>
        </w:rPr>
      </w:pPr>
      <w:r w:rsidRPr="00B96D6F">
        <w:rPr>
          <w:b/>
          <w:bCs/>
        </w:rPr>
        <w:t>Р Е Ш Е Н И Е</w:t>
      </w:r>
    </w:p>
    <w:p w:rsidR="00B96D6F" w:rsidRPr="00B96D6F" w:rsidRDefault="00B96D6F" w:rsidP="00B96D6F">
      <w:pPr>
        <w:jc w:val="center"/>
        <w:rPr>
          <w:b/>
        </w:rPr>
      </w:pPr>
    </w:p>
    <w:p w:rsidR="00B96D6F" w:rsidRPr="00B96D6F" w:rsidRDefault="00B96D6F" w:rsidP="00B96D6F">
      <w:pPr>
        <w:jc w:val="center"/>
        <w:rPr>
          <w:b/>
        </w:rPr>
      </w:pPr>
    </w:p>
    <w:p w:rsidR="00B96D6F" w:rsidRPr="00B96D6F" w:rsidRDefault="00B96D6F" w:rsidP="00B96D6F">
      <w:pPr>
        <w:rPr>
          <w:u w:val="single"/>
        </w:rPr>
      </w:pPr>
      <w:r w:rsidRPr="00B96D6F">
        <w:rPr>
          <w:u w:val="single"/>
        </w:rPr>
        <w:t xml:space="preserve">от 12 ноября </w:t>
      </w:r>
      <w:r w:rsidRPr="00B96D6F">
        <w:rPr>
          <w:u w:val="single"/>
        </w:rPr>
        <w:t xml:space="preserve">2019 года </w:t>
      </w:r>
      <w:r w:rsidRPr="00B96D6F">
        <w:t xml:space="preserve">                                                              </w:t>
      </w:r>
      <w:r w:rsidRPr="00B96D6F">
        <w:t xml:space="preserve">                             </w:t>
      </w:r>
      <w:r w:rsidRPr="00B96D6F">
        <w:rPr>
          <w:u w:val="single"/>
        </w:rPr>
        <w:t>№</w:t>
      </w:r>
      <w:r w:rsidRPr="00B96D6F">
        <w:rPr>
          <w:u w:val="single"/>
        </w:rPr>
        <w:t xml:space="preserve"> 177</w:t>
      </w:r>
      <w:r w:rsidRPr="00B96D6F">
        <w:rPr>
          <w:u w:val="single"/>
        </w:rPr>
        <w:t xml:space="preserve">  </w:t>
      </w:r>
    </w:p>
    <w:p w:rsidR="00B96D6F" w:rsidRPr="00B96D6F" w:rsidRDefault="00B96D6F" w:rsidP="00B96D6F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B96D6F" w:rsidRPr="00B96D6F" w:rsidTr="00B96D6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96D6F" w:rsidRPr="00B96D6F" w:rsidRDefault="00B96D6F" w:rsidP="00B96D6F">
            <w:pPr>
              <w:jc w:val="both"/>
            </w:pPr>
            <w:r w:rsidRPr="00B96D6F">
              <w:rPr>
                <w:b/>
                <w:bCs/>
              </w:rPr>
              <w:t>Об основных направлениях бюджетной и налоговой политики муниципального образования сельское поселение "Деревня Игнатовка" на 2020 год и на плановый период 2021 и 2022 годов</w:t>
            </w:r>
          </w:p>
        </w:tc>
      </w:tr>
    </w:tbl>
    <w:p w:rsidR="00B96D6F" w:rsidRPr="00B96D6F" w:rsidRDefault="00B96D6F" w:rsidP="00B96D6F">
      <w:pPr>
        <w:rPr>
          <w:b/>
        </w:rPr>
      </w:pPr>
    </w:p>
    <w:p w:rsidR="00B96D6F" w:rsidRPr="00B96D6F" w:rsidRDefault="00B96D6F" w:rsidP="00B96D6F">
      <w:pPr>
        <w:rPr>
          <w:b/>
        </w:rPr>
      </w:pPr>
    </w:p>
    <w:p w:rsidR="00B96D6F" w:rsidRPr="00B96D6F" w:rsidRDefault="00B96D6F" w:rsidP="00B96D6F">
      <w:pPr>
        <w:autoSpaceDE w:val="0"/>
        <w:ind w:firstLine="720"/>
        <w:jc w:val="both"/>
      </w:pPr>
      <w:r w:rsidRPr="00B96D6F">
        <w:t>Рассмотрев представленные основные направления бюджетной и налоговой политики сельского поселения «Деревня Игнатовка» на 2020 год и плановый период 2021 и 2022 годов, СЕЛЬСКАЯ ДУМА</w:t>
      </w:r>
    </w:p>
    <w:p w:rsidR="00B96D6F" w:rsidRPr="00B96D6F" w:rsidRDefault="00B96D6F" w:rsidP="00B96D6F">
      <w:pPr>
        <w:autoSpaceDE w:val="0"/>
        <w:ind w:firstLine="720"/>
        <w:jc w:val="both"/>
      </w:pPr>
    </w:p>
    <w:p w:rsidR="00B96D6F" w:rsidRPr="00B96D6F" w:rsidRDefault="00B96D6F" w:rsidP="00B96D6F">
      <w:pPr>
        <w:autoSpaceDE w:val="0"/>
        <w:ind w:firstLine="720"/>
        <w:jc w:val="center"/>
        <w:rPr>
          <w:b/>
        </w:rPr>
      </w:pPr>
      <w:r w:rsidRPr="00B96D6F">
        <w:rPr>
          <w:b/>
        </w:rPr>
        <w:t>РЕШИЛА:</w:t>
      </w:r>
    </w:p>
    <w:p w:rsidR="00B96D6F" w:rsidRPr="00B96D6F" w:rsidRDefault="00B96D6F" w:rsidP="00B96D6F">
      <w:pPr>
        <w:autoSpaceDE w:val="0"/>
        <w:ind w:firstLine="720"/>
        <w:jc w:val="center"/>
      </w:pPr>
    </w:p>
    <w:p w:rsidR="00B96D6F" w:rsidRPr="00B96D6F" w:rsidRDefault="00B96D6F" w:rsidP="00B96D6F">
      <w:pPr>
        <w:autoSpaceDE w:val="0"/>
        <w:ind w:firstLine="720"/>
        <w:jc w:val="both"/>
      </w:pPr>
      <w:bookmarkStart w:id="0" w:name="sub_1"/>
      <w:r w:rsidRPr="00B96D6F">
        <w:t xml:space="preserve">1. Одобрить основные направления бюджетной и налоговой политики сельского поселения «Деревня Игнатовка» на 2020 год и плановый период 2021 и 2022 годов согласно </w:t>
      </w:r>
      <w:hyperlink r:id="rId4" w:anchor="sub_1000" w:history="1">
        <w:r w:rsidRPr="00B96D6F">
          <w:rPr>
            <w:rStyle w:val="a3"/>
            <w:color w:val="auto"/>
          </w:rPr>
          <w:t>приложению</w:t>
        </w:r>
      </w:hyperlink>
      <w:r w:rsidRPr="00B96D6F">
        <w:t xml:space="preserve"> №1 к настоящему решению.</w:t>
      </w:r>
    </w:p>
    <w:p w:rsidR="00B96D6F" w:rsidRPr="00B96D6F" w:rsidRDefault="00B96D6F" w:rsidP="00B96D6F">
      <w:pPr>
        <w:autoSpaceDE w:val="0"/>
        <w:ind w:firstLine="720"/>
        <w:jc w:val="both"/>
      </w:pPr>
      <w:bookmarkStart w:id="1" w:name="sub_2"/>
      <w:bookmarkEnd w:id="0"/>
      <w:r w:rsidRPr="00B96D6F">
        <w:t>2. Настоящее решение вступает в силу с момента подписания и подлежит официальному опубликованию (обнародованию).</w:t>
      </w:r>
    </w:p>
    <w:bookmarkEnd w:id="1"/>
    <w:p w:rsidR="00B96D6F" w:rsidRPr="00B96D6F" w:rsidRDefault="00B96D6F" w:rsidP="00B96D6F">
      <w:pPr>
        <w:ind w:firstLine="720"/>
        <w:jc w:val="both"/>
      </w:pPr>
    </w:p>
    <w:p w:rsidR="00B96D6F" w:rsidRPr="00B96D6F" w:rsidRDefault="00B96D6F" w:rsidP="00B96D6F">
      <w:pPr>
        <w:jc w:val="both"/>
      </w:pPr>
    </w:p>
    <w:p w:rsidR="00B96D6F" w:rsidRPr="00B96D6F" w:rsidRDefault="00B96D6F" w:rsidP="00B96D6F">
      <w:pPr>
        <w:jc w:val="both"/>
      </w:pPr>
    </w:p>
    <w:p w:rsidR="00B96D6F" w:rsidRPr="00B96D6F" w:rsidRDefault="00B96D6F" w:rsidP="00B96D6F">
      <w:pPr>
        <w:jc w:val="both"/>
        <w:rPr>
          <w:b/>
        </w:rPr>
      </w:pPr>
      <w:r w:rsidRPr="00B96D6F">
        <w:rPr>
          <w:b/>
        </w:rPr>
        <w:t xml:space="preserve">Глава сельского поселения </w:t>
      </w:r>
    </w:p>
    <w:p w:rsidR="00B96D6F" w:rsidRPr="00B96D6F" w:rsidRDefault="00B96D6F" w:rsidP="00B96D6F">
      <w:pPr>
        <w:jc w:val="both"/>
        <w:rPr>
          <w:b/>
        </w:rPr>
      </w:pPr>
      <w:r w:rsidRPr="00B96D6F">
        <w:rPr>
          <w:b/>
        </w:rPr>
        <w:t xml:space="preserve">«Деревня </w:t>
      </w:r>
      <w:proofErr w:type="gramStart"/>
      <w:r w:rsidRPr="00B96D6F">
        <w:rPr>
          <w:b/>
        </w:rPr>
        <w:t xml:space="preserve">Игнатовка»   </w:t>
      </w:r>
      <w:proofErr w:type="gramEnd"/>
      <w:r w:rsidRPr="00B96D6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</w:t>
      </w:r>
      <w:r w:rsidRPr="00B96D6F">
        <w:rPr>
          <w:b/>
        </w:rPr>
        <w:t xml:space="preserve">  Г.С.</w:t>
      </w:r>
      <w:r w:rsidRPr="00B96D6F">
        <w:rPr>
          <w:b/>
        </w:rPr>
        <w:t xml:space="preserve"> </w:t>
      </w:r>
      <w:r w:rsidRPr="00B96D6F">
        <w:rPr>
          <w:b/>
        </w:rPr>
        <w:t>Сафронов</w:t>
      </w:r>
    </w:p>
    <w:p w:rsidR="00B96D6F" w:rsidRPr="00B96D6F" w:rsidRDefault="00B96D6F" w:rsidP="00B96D6F">
      <w:pPr>
        <w:jc w:val="both"/>
        <w:rPr>
          <w:b/>
        </w:rPr>
      </w:pPr>
    </w:p>
    <w:p w:rsidR="00B96D6F" w:rsidRPr="00B96D6F" w:rsidRDefault="00B96D6F" w:rsidP="00B96D6F">
      <w:pPr>
        <w:jc w:val="both"/>
        <w:rPr>
          <w:b/>
        </w:rPr>
      </w:pPr>
    </w:p>
    <w:p w:rsidR="00B96D6F" w:rsidRPr="00B96D6F" w:rsidRDefault="00B96D6F" w:rsidP="00B96D6F">
      <w:pPr>
        <w:jc w:val="both"/>
        <w:rPr>
          <w:b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jc w:val="both"/>
        <w:rPr>
          <w:b/>
          <w:sz w:val="26"/>
          <w:szCs w:val="26"/>
        </w:rPr>
      </w:pPr>
    </w:p>
    <w:p w:rsidR="00B96D6F" w:rsidRDefault="00B96D6F" w:rsidP="00B96D6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Сельской Думы</w:t>
      </w:r>
    </w:p>
    <w:p w:rsidR="00B96D6F" w:rsidRDefault="00B96D6F" w:rsidP="00B96D6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</w:p>
    <w:p w:rsidR="00B96D6F" w:rsidRDefault="00B96D6F" w:rsidP="00B96D6F">
      <w:pPr>
        <w:autoSpaceDE w:val="0"/>
        <w:jc w:val="right"/>
        <w:rPr>
          <w:rFonts w:ascii="Arial" w:hAnsi="Arial" w:cs="Arial"/>
          <w:b/>
          <w:bCs/>
          <w:color w:val="00008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12</w:t>
      </w:r>
      <w:r>
        <w:rPr>
          <w:sz w:val="20"/>
          <w:szCs w:val="20"/>
        </w:rPr>
        <w:t>.11.2019 №</w:t>
      </w:r>
      <w:r>
        <w:rPr>
          <w:sz w:val="20"/>
          <w:szCs w:val="20"/>
        </w:rPr>
        <w:t xml:space="preserve"> 177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                                                                                                                  </w:t>
      </w:r>
    </w:p>
    <w:p w:rsidR="00B96D6F" w:rsidRDefault="00B96D6F" w:rsidP="00B96D6F">
      <w:pPr>
        <w:autoSpaceDE w:val="0"/>
        <w:ind w:firstLine="698"/>
        <w:jc w:val="center"/>
        <w:rPr>
          <w:sz w:val="26"/>
          <w:szCs w:val="26"/>
        </w:rPr>
      </w:pPr>
    </w:p>
    <w:p w:rsidR="00B96D6F" w:rsidRDefault="00B96D6F" w:rsidP="00B96D6F">
      <w:pPr>
        <w:autoSpaceDE w:val="0"/>
        <w:ind w:firstLine="698"/>
        <w:jc w:val="center"/>
      </w:pPr>
    </w:p>
    <w:p w:rsidR="00B96D6F" w:rsidRDefault="00B96D6F" w:rsidP="00B96D6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Основные направления бюджетной и налоговой политики </w:t>
      </w:r>
    </w:p>
    <w:p w:rsidR="00B96D6F" w:rsidRDefault="00B96D6F" w:rsidP="00B96D6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сельского поселения «Деревня Игнатовка» </w:t>
      </w:r>
    </w:p>
    <w:p w:rsidR="00B96D6F" w:rsidRDefault="00B96D6F" w:rsidP="00B96D6F">
      <w:pPr>
        <w:jc w:val="center"/>
      </w:pPr>
      <w:r>
        <w:rPr>
          <w:b/>
          <w:bCs/>
        </w:rPr>
        <w:t>на 2020 год и на плановый период 2021 и 2022 годов</w:t>
      </w:r>
    </w:p>
    <w:p w:rsidR="00B96D6F" w:rsidRDefault="00B96D6F" w:rsidP="00B96D6F">
      <w:pPr>
        <w:autoSpaceDE w:val="0"/>
        <w:jc w:val="both"/>
      </w:pPr>
    </w:p>
    <w:p w:rsidR="00B96D6F" w:rsidRDefault="00B96D6F" w:rsidP="00B96D6F">
      <w:pPr>
        <w:ind w:firstLine="567"/>
        <w:jc w:val="both"/>
      </w:pPr>
      <w:r>
        <w:t xml:space="preserve">Основные направления бюджетной и налоговой политики сельского поселения «Деревня Игнатовка» на 2020 - 2022 годы разработаны в соответствии со статьёй 172 Бюджетного кодекса Российской Федерации, решением Сельской Думы сельского поселения «Деревня Игнатовка» от 23.01.2014 № 157 "Об утверждении Положения о бюджетном процессе в муниципальном образовании сельского поселения «Деревня Игнатовка» с целью составления проекта бюджета сельского поселения на очередной финансовый год и плановый период, повышения качества бюджетного процесса, обеспечения рационального и эффективного использования бюджетных средств. </w:t>
      </w:r>
    </w:p>
    <w:p w:rsidR="00B96D6F" w:rsidRDefault="00B96D6F" w:rsidP="00B96D6F">
      <w:pPr>
        <w:pStyle w:val="a4"/>
        <w:spacing w:after="0"/>
        <w:ind w:firstLine="567"/>
        <w:jc w:val="both"/>
      </w:pPr>
      <w:r>
        <w:t>При подготовке Основных направлений бюджетной и налоговой политики учитывались:</w:t>
      </w:r>
    </w:p>
    <w:p w:rsidR="00B96D6F" w:rsidRDefault="00B96D6F" w:rsidP="00B96D6F">
      <w:pPr>
        <w:pStyle w:val="a4"/>
        <w:spacing w:after="0"/>
        <w:ind w:firstLine="567"/>
        <w:jc w:val="both"/>
        <w:rPr>
          <w:color w:val="00000A"/>
        </w:rPr>
      </w:pPr>
      <w:r>
        <w:rPr>
          <w:color w:val="00000A"/>
        </w:rPr>
        <w:t xml:space="preserve">- </w:t>
      </w:r>
      <w:r>
        <w:t>Основные направления налоговой политики Российской Федерации на 20</w:t>
      </w:r>
      <w:r>
        <w:rPr>
          <w:lang w:val="ru-RU"/>
        </w:rPr>
        <w:t>20</w:t>
      </w:r>
      <w:r>
        <w:t xml:space="preserve"> год и на плановый период 20</w:t>
      </w:r>
      <w:r>
        <w:rPr>
          <w:lang w:val="ru-RU"/>
        </w:rPr>
        <w:t>21</w:t>
      </w:r>
      <w:r>
        <w:t xml:space="preserve"> и 202</w:t>
      </w:r>
      <w:r>
        <w:rPr>
          <w:lang w:val="ru-RU"/>
        </w:rPr>
        <w:t>2</w:t>
      </w:r>
      <w:r>
        <w:t xml:space="preserve"> годов;</w:t>
      </w:r>
    </w:p>
    <w:p w:rsidR="00B96D6F" w:rsidRDefault="00B96D6F" w:rsidP="00B96D6F">
      <w:pPr>
        <w:pStyle w:val="a4"/>
        <w:spacing w:after="0"/>
        <w:ind w:firstLine="567"/>
        <w:jc w:val="both"/>
        <w:rPr>
          <w:color w:val="00000A"/>
        </w:rPr>
      </w:pPr>
      <w:r>
        <w:rPr>
          <w:color w:val="00000A"/>
        </w:rPr>
        <w:t xml:space="preserve">- </w:t>
      </w:r>
      <w:r>
        <w:t>Основные направления бюджетной политики Российской Федерации на 20</w:t>
      </w:r>
      <w:r>
        <w:rPr>
          <w:lang w:val="ru-RU"/>
        </w:rPr>
        <w:t>20</w:t>
      </w:r>
      <w:r>
        <w:t xml:space="preserve"> год и на плановый период 20</w:t>
      </w:r>
      <w:r>
        <w:rPr>
          <w:lang w:val="ru-RU"/>
        </w:rPr>
        <w:t>21</w:t>
      </w:r>
      <w:r>
        <w:t xml:space="preserve"> и 202</w:t>
      </w:r>
      <w:r>
        <w:rPr>
          <w:lang w:val="ru-RU"/>
        </w:rPr>
        <w:t>2</w:t>
      </w:r>
      <w:r>
        <w:t xml:space="preserve"> годов;</w:t>
      </w:r>
    </w:p>
    <w:p w:rsidR="00B96D6F" w:rsidRDefault="00B96D6F" w:rsidP="00B96D6F">
      <w:pPr>
        <w:pStyle w:val="a4"/>
        <w:spacing w:after="0"/>
        <w:ind w:firstLine="567"/>
        <w:jc w:val="both"/>
      </w:pPr>
      <w:r>
        <w:t>-</w:t>
      </w:r>
      <w:r>
        <w:rPr>
          <w:lang w:val="ru-RU"/>
        </w:rPr>
        <w:t>И</w:t>
      </w:r>
      <w:proofErr w:type="spellStart"/>
      <w:r>
        <w:t>зменения</w:t>
      </w:r>
      <w:proofErr w:type="spellEnd"/>
      <w:r>
        <w:t>, вносимые в Налоговый кодекс Российской Федерации;</w:t>
      </w:r>
    </w:p>
    <w:p w:rsidR="00B96D6F" w:rsidRDefault="00B96D6F" w:rsidP="00B96D6F">
      <w:pPr>
        <w:pStyle w:val="a4"/>
        <w:spacing w:after="0"/>
        <w:ind w:firstLine="567"/>
        <w:jc w:val="both"/>
      </w:pPr>
      <w:r>
        <w:t>-</w:t>
      </w:r>
      <w:r>
        <w:rPr>
          <w:lang w:val="ru-RU"/>
        </w:rPr>
        <w:t>И</w:t>
      </w:r>
      <w:proofErr w:type="spellStart"/>
      <w:r>
        <w:t>зменения</w:t>
      </w:r>
      <w:proofErr w:type="spellEnd"/>
      <w:r>
        <w:t>, вносимые в законодательство Калужской области;</w:t>
      </w:r>
    </w:p>
    <w:p w:rsidR="00B96D6F" w:rsidRDefault="00B96D6F" w:rsidP="00B96D6F">
      <w:pPr>
        <w:pStyle w:val="a4"/>
        <w:spacing w:after="0"/>
        <w:ind w:firstLine="567"/>
        <w:jc w:val="both"/>
      </w:pPr>
      <w:r>
        <w:t>-</w:t>
      </w:r>
      <w:r>
        <w:rPr>
          <w:lang w:val="ru-RU"/>
        </w:rPr>
        <w:t>И</w:t>
      </w:r>
      <w:proofErr w:type="spellStart"/>
      <w:r>
        <w:t>зменения</w:t>
      </w:r>
      <w:proofErr w:type="spellEnd"/>
      <w:r>
        <w:t>, внесенные в решения Сельской Думы сельского поселения «Деревня Игнатовка».</w:t>
      </w:r>
    </w:p>
    <w:p w:rsidR="00B96D6F" w:rsidRDefault="00B96D6F" w:rsidP="00B96D6F">
      <w:pPr>
        <w:pStyle w:val="a4"/>
        <w:spacing w:after="0"/>
        <w:ind w:firstLine="567"/>
        <w:jc w:val="both"/>
      </w:pPr>
      <w:r>
        <w:t xml:space="preserve">Бюджетная политика должна стать более эффективным инструментом реализации социально-экономического развития поселения.  Механизмы социально-экономической политики должны иметь надежное, точно просчитанное бюджетное обеспечение.  Должны быть  четко  определены  объемы бюджетного  финансирования,  необходимые  для  достижения  конкретных количественно  определенных  целей  социально-экономической  политики поселения.  </w:t>
      </w:r>
    </w:p>
    <w:p w:rsidR="00B96D6F" w:rsidRDefault="00B96D6F" w:rsidP="00B96D6F">
      <w:pPr>
        <w:spacing w:before="108" w:after="108"/>
        <w:jc w:val="center"/>
      </w:pPr>
    </w:p>
    <w:p w:rsidR="00B96D6F" w:rsidRDefault="00B96D6F" w:rsidP="00B96D6F">
      <w:pPr>
        <w:jc w:val="center"/>
        <w:rPr>
          <w:b/>
          <w:bCs/>
          <w:color w:val="26282F"/>
        </w:rPr>
      </w:pPr>
      <w:bookmarkStart w:id="2" w:name="sub_100"/>
      <w:bookmarkStart w:id="3" w:name="sub_1001"/>
      <w:r>
        <w:rPr>
          <w:b/>
          <w:bCs/>
          <w:color w:val="26282F"/>
        </w:rPr>
        <w:t xml:space="preserve">I. Основные цели и задачи бюджетной и налоговой политики на 2020 год </w:t>
      </w:r>
    </w:p>
    <w:p w:rsidR="00B96D6F" w:rsidRDefault="00B96D6F" w:rsidP="00B96D6F">
      <w:pPr>
        <w:jc w:val="center"/>
      </w:pPr>
      <w:r>
        <w:rPr>
          <w:b/>
          <w:bCs/>
          <w:color w:val="26282F"/>
        </w:rPr>
        <w:t>и на плановый период 2021 и 2022 годов</w:t>
      </w:r>
    </w:p>
    <w:bookmarkEnd w:id="2"/>
    <w:p w:rsidR="00B96D6F" w:rsidRDefault="00B96D6F" w:rsidP="00B96D6F">
      <w:pPr>
        <w:jc w:val="both"/>
      </w:pPr>
    </w:p>
    <w:p w:rsidR="00B96D6F" w:rsidRDefault="00B96D6F" w:rsidP="00B96D6F">
      <w:pPr>
        <w:pStyle w:val="a4"/>
        <w:spacing w:after="0"/>
        <w:ind w:firstLine="567"/>
        <w:jc w:val="both"/>
        <w:rPr>
          <w:color w:val="00000A"/>
        </w:rPr>
      </w:pPr>
      <w:r>
        <w:t>Основной целью бюджетной и налоговой политики поселения на 20</w:t>
      </w:r>
      <w:r>
        <w:rPr>
          <w:lang w:val="ru-RU"/>
        </w:rPr>
        <w:t>20</w:t>
      </w:r>
      <w:r>
        <w:t xml:space="preserve"> год и на плановый период 20</w:t>
      </w:r>
      <w:r>
        <w:rPr>
          <w:lang w:val="ru-RU"/>
        </w:rPr>
        <w:t>21</w:t>
      </w:r>
      <w:r>
        <w:t xml:space="preserve"> и 202</w:t>
      </w:r>
      <w:r>
        <w:rPr>
          <w:lang w:val="ru-RU"/>
        </w:rPr>
        <w:t>2</w:t>
      </w:r>
      <w:r>
        <w:t xml:space="preserve"> годов</w:t>
      </w:r>
      <w:r>
        <w:rPr>
          <w:lang w:val="ru-RU"/>
        </w:rPr>
        <w:t xml:space="preserve"> </w:t>
      </w:r>
      <w:r>
        <w:t xml:space="preserve">является  повышение  уровня  и  качества  жизни жителей поселения за счет обеспечения устойчивого  экономического  роста,  социальной  стабильности,  сбалансированности  и  устойчивости  бюджетной  системы  поселения, безусловного исполнения расходных обязательств поселения, бесперебойного функционирования систем жизнеобеспечения, бюджетной сферы и их дальнейшего развития в интересах населения поселения. Для достижения этой цели необходимо продолжить работу  по решению следующих задач: </w:t>
      </w:r>
    </w:p>
    <w:p w:rsidR="00B96D6F" w:rsidRDefault="00B96D6F" w:rsidP="00B96D6F">
      <w:pPr>
        <w:ind w:firstLine="567"/>
        <w:jc w:val="both"/>
      </w:pPr>
      <w:r>
        <w:t xml:space="preserve">- достоверное среднесрочное прогнозирование социально-экономического развития поселения; </w:t>
      </w:r>
    </w:p>
    <w:p w:rsidR="00B96D6F" w:rsidRDefault="00B96D6F" w:rsidP="00B96D6F">
      <w:pPr>
        <w:ind w:firstLine="567"/>
        <w:jc w:val="both"/>
      </w:pPr>
      <w:r>
        <w:t xml:space="preserve">- мобилизация налогового и неналогового потенциала </w:t>
      </w:r>
      <w:bookmarkStart w:id="4" w:name="_GoBack"/>
      <w:bookmarkEnd w:id="4"/>
      <w:r>
        <w:t xml:space="preserve">поселения,  снижение недоимки в местный бюджет; </w:t>
      </w:r>
    </w:p>
    <w:p w:rsidR="00B96D6F" w:rsidRDefault="00B96D6F" w:rsidP="00B96D6F">
      <w:pPr>
        <w:ind w:firstLine="567"/>
        <w:jc w:val="both"/>
      </w:pPr>
      <w:r>
        <w:t xml:space="preserve">- повышение эффективности управления муниципальным имуществом поселения; </w:t>
      </w:r>
    </w:p>
    <w:p w:rsidR="00B96D6F" w:rsidRDefault="00B96D6F" w:rsidP="00B96D6F">
      <w:pPr>
        <w:ind w:firstLine="567"/>
        <w:jc w:val="both"/>
      </w:pPr>
      <w:r>
        <w:t xml:space="preserve">- предоставление населению поселения муниципальных услуг в соответствии с предъявляемым спросом; </w:t>
      </w:r>
    </w:p>
    <w:p w:rsidR="00B96D6F" w:rsidRDefault="00B96D6F" w:rsidP="00B96D6F">
      <w:pPr>
        <w:ind w:firstLine="567"/>
        <w:jc w:val="both"/>
      </w:pPr>
      <w:r>
        <w:lastRenderedPageBreak/>
        <w:t xml:space="preserve">- повышение качества предоставляемых муниципальных услуг; </w:t>
      </w:r>
    </w:p>
    <w:p w:rsidR="00B96D6F" w:rsidRDefault="00B96D6F" w:rsidP="00B96D6F">
      <w:pPr>
        <w:ind w:firstLine="567"/>
        <w:jc w:val="both"/>
      </w:pPr>
      <w:r>
        <w:t xml:space="preserve">- рациональное использование бюджетных средств путем обеспечения надлежащего механизма муниципальных закупок; </w:t>
      </w:r>
    </w:p>
    <w:p w:rsidR="00B96D6F" w:rsidRDefault="00B96D6F" w:rsidP="00B96D6F">
      <w:pPr>
        <w:ind w:firstLine="567"/>
        <w:jc w:val="both"/>
      </w:pPr>
      <w:r>
        <w:t xml:space="preserve">- обеспечение прозрачности бюджетных процедур, конкурентного режима при закупках товаров и услуг для муниципальных нужд; </w:t>
      </w:r>
    </w:p>
    <w:p w:rsidR="00B96D6F" w:rsidRDefault="00B96D6F" w:rsidP="00B96D6F">
      <w:pPr>
        <w:ind w:firstLine="567"/>
        <w:jc w:val="both"/>
      </w:pPr>
      <w:r>
        <w:t xml:space="preserve">- создание условий для действенного контроля, в том числе общественного, за осуществлением бюджетных расходов и качеством услуг, предоставляемых муниципальными учреждениями; </w:t>
      </w:r>
    </w:p>
    <w:p w:rsidR="00B96D6F" w:rsidRDefault="00B96D6F" w:rsidP="00B96D6F">
      <w:pPr>
        <w:ind w:firstLine="567"/>
        <w:jc w:val="both"/>
      </w:pPr>
      <w:r>
        <w:t xml:space="preserve">- оптимизацию расходов на содержание органов местного самоуправления; </w:t>
      </w:r>
    </w:p>
    <w:p w:rsidR="00B96D6F" w:rsidRDefault="00B96D6F" w:rsidP="00B96D6F">
      <w:pPr>
        <w:ind w:firstLine="567"/>
        <w:jc w:val="both"/>
      </w:pPr>
      <w:r>
        <w:t xml:space="preserve">- совершенствование бюджетного процесса и межбюджетных отношений. </w:t>
      </w:r>
    </w:p>
    <w:p w:rsidR="00B96D6F" w:rsidRDefault="00B96D6F" w:rsidP="00B96D6F">
      <w:pPr>
        <w:jc w:val="both"/>
      </w:pPr>
      <w:bookmarkStart w:id="5" w:name="sub_10151"/>
      <w:bookmarkEnd w:id="3"/>
    </w:p>
    <w:p w:rsidR="00B96D6F" w:rsidRDefault="00B96D6F" w:rsidP="00B96D6F">
      <w:pPr>
        <w:autoSpaceDE w:val="0"/>
        <w:ind w:firstLine="720"/>
        <w:jc w:val="center"/>
      </w:pPr>
      <w:bookmarkStart w:id="6" w:name="sub_10153"/>
      <w:bookmarkEnd w:id="5"/>
      <w:r>
        <w:t xml:space="preserve">   </w:t>
      </w:r>
      <w:r>
        <w:rPr>
          <w:b/>
          <w:bCs/>
          <w:color w:val="26282F"/>
        </w:rPr>
        <w:t>II. Основные направления бюджетной и налоговой политики на 2020 год и на плановый период 2021 и 2022 годов</w:t>
      </w:r>
    </w:p>
    <w:p w:rsidR="00B96D6F" w:rsidRDefault="00B96D6F" w:rsidP="00B96D6F">
      <w:pPr>
        <w:ind w:firstLine="720"/>
        <w:jc w:val="both"/>
      </w:pPr>
    </w:p>
    <w:p w:rsidR="00B96D6F" w:rsidRDefault="00B96D6F" w:rsidP="00B96D6F">
      <w:pPr>
        <w:ind w:firstLine="567"/>
        <w:jc w:val="both"/>
      </w:pPr>
      <w:r>
        <w:t>Бюджетная и налоговая политика в период 2020 - 2022 годов будет направлена на обеспечение динамичного поступления доходов в бюджет сельского поселения в первую очередь за счет реализации мер, направленных на сохранение и увеличение доходного потенциала.</w:t>
      </w:r>
    </w:p>
    <w:p w:rsidR="00B96D6F" w:rsidRDefault="00B96D6F" w:rsidP="00B96D6F">
      <w:pPr>
        <w:ind w:firstLine="567"/>
        <w:jc w:val="both"/>
      </w:pPr>
      <w:r>
        <w:t>Бюджетная политика на среднесрочную перспективу должна быть ориентирована на обеспечение сбалансированности расходных полномочий и ресурсов для их исполнения. Необходима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услуг.</w:t>
      </w:r>
    </w:p>
    <w:p w:rsidR="00B96D6F" w:rsidRDefault="00B96D6F" w:rsidP="00B96D6F">
      <w:pPr>
        <w:ind w:firstLine="567"/>
        <w:jc w:val="both"/>
      </w:pPr>
      <w:r>
        <w:t>При разработке мер в области бюджетной и налоговой политики, которые предполагается реализовать в 2020 - 2022 годах, будет продолжена реализация целей и задач, предусмотренных в предыдущие годы.</w:t>
      </w:r>
    </w:p>
    <w:p w:rsidR="00B96D6F" w:rsidRDefault="00B96D6F" w:rsidP="00B96D6F">
      <w:pPr>
        <w:ind w:firstLine="567"/>
        <w:jc w:val="both"/>
      </w:pPr>
      <w:r>
        <w:t>В связи с этим основными направлениями бюджетной и налоговой политики являются:</w:t>
      </w:r>
    </w:p>
    <w:p w:rsidR="00B96D6F" w:rsidRDefault="00B96D6F" w:rsidP="00B96D6F">
      <w:pPr>
        <w:ind w:firstLine="567"/>
        <w:jc w:val="both"/>
      </w:pPr>
      <w:r>
        <w:t>- повышение реалистичности и минимизации рисков несбалансированности при бюджетном планировании;</w:t>
      </w:r>
    </w:p>
    <w:p w:rsidR="00B96D6F" w:rsidRDefault="00B96D6F" w:rsidP="00B96D6F">
      <w:pPr>
        <w:ind w:firstLine="567"/>
        <w:jc w:val="both"/>
      </w:pPr>
      <w:r>
        <w:t>- применение комплекса мер, направленных на мобилизацию доходов в бюджет, продолжение практики взаимодействия с налогоплательщиками сельского поселения; повышение качества налогового администрирования;</w:t>
      </w:r>
    </w:p>
    <w:p w:rsidR="00B96D6F" w:rsidRDefault="00B96D6F" w:rsidP="00B96D6F">
      <w:pPr>
        <w:ind w:firstLine="567"/>
        <w:jc w:val="both"/>
      </w:pPr>
      <w:r>
        <w:t>- осуществление предусмотренных законодательством всех форм муниципальной поддержки хозяйствующих субъектов, реализующих проекты, способствующие росту налогового потенциала сельского поселения; повышение предпринимательской активности; стимулирование деятельности малого и среднего бизнеса;</w:t>
      </w:r>
    </w:p>
    <w:p w:rsidR="00B96D6F" w:rsidRDefault="00B96D6F" w:rsidP="00B96D6F">
      <w:pPr>
        <w:ind w:firstLine="567"/>
        <w:jc w:val="both"/>
      </w:pPr>
      <w:r>
        <w:t>- концентрация расходов на приоритетных направлениях, прежде всего связанных с улучшением условий жизни человека;</w:t>
      </w:r>
    </w:p>
    <w:p w:rsidR="00B96D6F" w:rsidRDefault="00B96D6F" w:rsidP="00B96D6F">
      <w:pPr>
        <w:ind w:firstLine="567"/>
        <w:jc w:val="both"/>
      </w:pPr>
      <w: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B96D6F" w:rsidRDefault="00B96D6F" w:rsidP="00B96D6F">
      <w:pPr>
        <w:ind w:firstLine="567"/>
        <w:jc w:val="both"/>
      </w:pPr>
      <w:r>
        <w:t>- повышение самостоятельности и ответственности органа местного самоуправления поселения за проводимую бюджетную политику, создание условий для получения больших результатов в условиях эффективного использования финансовых ресурсов;</w:t>
      </w:r>
    </w:p>
    <w:p w:rsidR="00B96D6F" w:rsidRDefault="00B96D6F" w:rsidP="00B96D6F">
      <w:pPr>
        <w:ind w:firstLine="567"/>
        <w:jc w:val="both"/>
      </w:pPr>
      <w:r>
        <w:t>- обеспечение публичности процесса управления общественными финансами, гарантирующей обществу право на открытость и доступность информации о расходовании бюджетных средств.</w:t>
      </w:r>
    </w:p>
    <w:bookmarkEnd w:id="6"/>
    <w:p w:rsidR="00B96D6F" w:rsidRDefault="00B96D6F" w:rsidP="00B96D6F">
      <w:pPr>
        <w:autoSpaceDE w:val="0"/>
        <w:ind w:firstLine="720"/>
        <w:jc w:val="both"/>
      </w:pPr>
    </w:p>
    <w:p w:rsidR="00B96D6F" w:rsidRDefault="00B96D6F" w:rsidP="00B96D6F">
      <w:pPr>
        <w:jc w:val="both"/>
      </w:pPr>
    </w:p>
    <w:p w:rsidR="00B96D6F" w:rsidRDefault="00B96D6F" w:rsidP="00B96D6F">
      <w:pPr>
        <w:jc w:val="both"/>
      </w:pPr>
    </w:p>
    <w:p w:rsidR="009F14F1" w:rsidRDefault="00B96D6F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F"/>
    <w:rsid w:val="0000632E"/>
    <w:rsid w:val="00B96D6F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3BAE9-50B7-4616-A79E-C98390C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6D6F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B96D6F"/>
    <w:pPr>
      <w:suppressAutoHyphens/>
      <w:spacing w:after="120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B96D6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GNATO~1\AppData\Local\Temp\Rar$DI13.6612\&#1054;&#1089;&#1085;&#1086;&#1074;&#1085;&#1099;&#1077;%20&#1085;&#1072;&#1087;&#1088;&#1072;&#1074;&#1083;&#1077;&#1085;&#1080;&#1103;%20&#1085;&#1072;&#1083;&#1086;&#1075;&#1086;&#1074;&#1086;&#1081;%20&#1080;%20&#1073;&#1102;&#1076;&#1078;&#1077;&#1090;&#1085;&#1086;&#1081;%20&#1087;&#1086;&#1083;&#1080;&#1090;&#108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2019-11-22T09:03:00Z</dcterms:created>
  <dcterms:modified xsi:type="dcterms:W3CDTF">2019-11-22T09:08:00Z</dcterms:modified>
</cp:coreProperties>
</file>