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Pr="00861C73" w:rsidRDefault="00861C73" w:rsidP="0086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73" w:rsidRPr="00861C73" w:rsidRDefault="00861C73" w:rsidP="00861C7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mallCaps/>
          <w:spacing w:val="34"/>
          <w:sz w:val="24"/>
          <w:szCs w:val="20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bCs/>
          <w:smallCaps/>
          <w:spacing w:val="34"/>
          <w:sz w:val="24"/>
          <w:szCs w:val="20"/>
          <w:lang w:eastAsia="ru-RU"/>
        </w:rPr>
        <w:t xml:space="preserve">    Калужская область</w:t>
      </w:r>
    </w:p>
    <w:p w:rsidR="00861C73" w:rsidRPr="00861C73" w:rsidRDefault="00861C73" w:rsidP="00861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  <w:t xml:space="preserve">   ГОРОДСКАЯ ДУМА</w:t>
      </w:r>
    </w:p>
    <w:p w:rsidR="00861C73" w:rsidRPr="00861C73" w:rsidRDefault="00861C73" w:rsidP="00861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  <w:t>городского поселения «Город ЛЮдиново»</w:t>
      </w:r>
    </w:p>
    <w:p w:rsidR="00861C73" w:rsidRPr="00861C73" w:rsidRDefault="00861C73" w:rsidP="00861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61C73" w:rsidRPr="00861C73" w:rsidRDefault="00861C73" w:rsidP="00861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sz w:val="44"/>
          <w:szCs w:val="44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bCs/>
          <w:caps/>
          <w:spacing w:val="40"/>
          <w:sz w:val="44"/>
          <w:szCs w:val="44"/>
          <w:lang w:eastAsia="ru-RU"/>
        </w:rPr>
        <w:t>рЕШЕНИЕ</w:t>
      </w:r>
    </w:p>
    <w:p w:rsidR="00861C73" w:rsidRPr="00861C73" w:rsidRDefault="00861C73" w:rsidP="00861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61C73" w:rsidRPr="00861C73" w:rsidRDefault="00051514" w:rsidP="00861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0515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30.11.2018</w:t>
      </w:r>
      <w:r w:rsidR="00861C73" w:rsidRPr="00861C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="00861C73" w:rsidRPr="00861C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="00861C73" w:rsidRPr="00861C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="00861C73" w:rsidRPr="00861C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="005571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</w:t>
      </w:r>
      <w:r w:rsidRPr="000515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№30-</w:t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</w:p>
    <w:p w:rsidR="00861C73" w:rsidRPr="00861C73" w:rsidRDefault="00861C73" w:rsidP="00861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861C73" w:rsidRDefault="00861C73" w:rsidP="00557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8FB" w:rsidRPr="00861C73" w:rsidRDefault="00E658FB" w:rsidP="000515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C73" w:rsidRPr="00861C73" w:rsidRDefault="00861C73" w:rsidP="00861C7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прогнозе социально – экономического развития городского поселения</w:t>
      </w:r>
    </w:p>
    <w:p w:rsidR="00861C73" w:rsidRPr="00861C73" w:rsidRDefault="00861C73" w:rsidP="00861C7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"Город Людиново" на   2019 год  и на пл</w:t>
      </w:r>
      <w:r w:rsidR="0055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ановый период 2020 - 2021 годов</w:t>
      </w:r>
    </w:p>
    <w:p w:rsidR="00861C73" w:rsidRPr="00861C73" w:rsidRDefault="00861C73" w:rsidP="0086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73" w:rsidRPr="00861C73" w:rsidRDefault="00861C73" w:rsidP="0086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73" w:rsidRPr="00861C73" w:rsidRDefault="00861C73" w:rsidP="0086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администрацией муниципального района "Город Людиново  и Людиновский район" материалы,   Городская Дума  </w:t>
      </w:r>
    </w:p>
    <w:p w:rsidR="00861C73" w:rsidRPr="00861C73" w:rsidRDefault="00861C73" w:rsidP="0086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РЕШИЛА:</w:t>
      </w:r>
    </w:p>
    <w:p w:rsidR="00861C73" w:rsidRPr="00861C73" w:rsidRDefault="00861C73" w:rsidP="0086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прогноз  социально – экономического развития городского поселения "Город Людиново" на 2019 год  и на плановый период 2020-2021 годов (прилагается).    </w:t>
      </w:r>
    </w:p>
    <w:p w:rsidR="00861C73" w:rsidRPr="00861C73" w:rsidRDefault="00861C73" w:rsidP="0086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Опубликовать настоящее решение в средствах массовой информации, включить в регистр нормативных актов.    </w:t>
      </w:r>
    </w:p>
    <w:p w:rsidR="00861C73" w:rsidRPr="00861C73" w:rsidRDefault="00861C73" w:rsidP="0086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C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61C73" w:rsidRPr="00861C73" w:rsidRDefault="00861C73" w:rsidP="00861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73" w:rsidRPr="00861C73" w:rsidRDefault="00861C73" w:rsidP="00861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C73" w:rsidRPr="00861C73" w:rsidRDefault="00861C73" w:rsidP="00861C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поселения</w:t>
      </w:r>
    </w:p>
    <w:p w:rsidR="00861C73" w:rsidRPr="00861C73" w:rsidRDefault="00861C73" w:rsidP="00861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Людиново"</w:t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1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Т. А. Прохорова</w:t>
      </w:r>
    </w:p>
    <w:p w:rsidR="00861C73" w:rsidRPr="00861C73" w:rsidRDefault="00861C73" w:rsidP="00861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C73" w:rsidRDefault="00861C73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1DB" w:rsidRDefault="005571DB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514" w:rsidRDefault="00051514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BDB" w:rsidRPr="00792BDB" w:rsidRDefault="00792BDB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792BDB" w:rsidRPr="00792BDB" w:rsidRDefault="00792BDB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Думы ГП «Город Людиново»</w:t>
      </w:r>
    </w:p>
    <w:p w:rsidR="007D0090" w:rsidRDefault="00051514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</w:t>
      </w:r>
      <w:r w:rsidR="00792BDB" w:rsidRPr="00792BDB">
        <w:rPr>
          <w:rFonts w:ascii="Times New Roman" w:hAnsi="Times New Roman" w:cs="Times New Roman"/>
          <w:sz w:val="24"/>
          <w:szCs w:val="24"/>
        </w:rPr>
        <w:t>2018 №</w:t>
      </w:r>
      <w:r>
        <w:rPr>
          <w:rFonts w:ascii="Times New Roman" w:hAnsi="Times New Roman" w:cs="Times New Roman"/>
          <w:sz w:val="24"/>
          <w:szCs w:val="24"/>
        </w:rPr>
        <w:t>30-р</w:t>
      </w:r>
    </w:p>
    <w:p w:rsidR="00792BDB" w:rsidRDefault="00792BDB" w:rsidP="0079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BDB" w:rsidRP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92BDB" w:rsidRP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к основным показателям  прогноза социально-экономического развития</w:t>
      </w:r>
    </w:p>
    <w:p w:rsidR="00792BDB" w:rsidRP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</w:p>
    <w:p w:rsidR="00792BDB" w:rsidRP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на 2019 год и плановый период 2020 – 2021 годов.</w:t>
      </w:r>
    </w:p>
    <w:p w:rsidR="00792BDB" w:rsidRPr="00792BDB" w:rsidRDefault="00792BDB" w:rsidP="0079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ГП «Город Людиново» подготовлен в соответствии с Прогнозом социально-экономического развития муниципального района «Город Людиново и Людиновский район». За исходные данные приняты итоги социально-экономического развития муниципального района в 2017 году и оценка 2018 года, материалы представленные предприятиями и учреждениями муниципального района, государственной статистики, а также собственные расчеты.</w:t>
      </w:r>
    </w:p>
    <w:p w:rsidR="00792BDB" w:rsidRPr="00792BDB" w:rsidRDefault="00792BDB" w:rsidP="0079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 xml:space="preserve">Основные показатели прогноза социально-экономического развития администрацией муниципального района «Город Людиново и Людиновский район» для городского поселения «Город Людиново» на 2019 год и на плановый период до 2021 года разработаны в двух вариантах. </w:t>
      </w:r>
    </w:p>
    <w:p w:rsidR="00792BDB" w:rsidRPr="00792BDB" w:rsidRDefault="00792BDB" w:rsidP="0079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Базовый вариант (1 вариант) – предполагает сдержанную динамику развития экономики на протяжении всего прогнозного периода, основанную на незначительном росте потребительского спроса, умеренной инвестиционной политике частных компаний и сохранении бюджетных ограничений. При этом в базовом варианте заложено постепенное восстановление роста реальной заработной платы с учетом стабилизации уровня инфляции.</w:t>
      </w:r>
    </w:p>
    <w:p w:rsidR="00792BDB" w:rsidRPr="00792BDB" w:rsidRDefault="00792BDB" w:rsidP="0079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Базовый вариант прогноза вошел в составе Прогноза социально-экономического развития Людиновского района в прогноз Калужской области на 2019 год и плановый период 2020 - 2021 годов и этот вариант предполагается использовать для разработки параметров  бюджета городского поселения на 2019 - 2021годы.</w:t>
      </w:r>
    </w:p>
    <w:p w:rsidR="00792BDB" w:rsidRPr="00792BDB" w:rsidRDefault="00792BDB" w:rsidP="00792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Целевой вариант (2 вариант) базируется на более позитивной конъюнктуре рынка, смягчении денежно-кредитной политики, повышении инвестиционной активности и восстановлении внутреннего спроса. Положительная динамика доходов населения наряду с оживлением потребительского кредитования окажет влияние на рост оборотов розничной торговли и сектора услуг.</w:t>
      </w:r>
    </w:p>
    <w:p w:rsidR="00792BDB" w:rsidRPr="00792BDB" w:rsidRDefault="00792BDB" w:rsidP="00792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DB" w:rsidRP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DB">
        <w:rPr>
          <w:rFonts w:ascii="Times New Roman" w:hAnsi="Times New Roman" w:cs="Times New Roman"/>
          <w:b/>
          <w:sz w:val="24"/>
          <w:szCs w:val="24"/>
        </w:rPr>
        <w:t>О текущей экономической ситуации</w:t>
      </w:r>
    </w:p>
    <w:p w:rsidR="00792BDB" w:rsidRP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DB">
        <w:rPr>
          <w:rFonts w:ascii="Times New Roman" w:hAnsi="Times New Roman" w:cs="Times New Roman"/>
          <w:b/>
          <w:sz w:val="24"/>
          <w:szCs w:val="24"/>
        </w:rPr>
        <w:t xml:space="preserve">(по итогам работы за </w:t>
      </w:r>
      <w:r w:rsidR="00061A41">
        <w:rPr>
          <w:rFonts w:ascii="Times New Roman" w:hAnsi="Times New Roman" w:cs="Times New Roman"/>
          <w:b/>
          <w:sz w:val="24"/>
          <w:szCs w:val="24"/>
        </w:rPr>
        <w:t>9</w:t>
      </w:r>
      <w:r w:rsidRPr="00792BDB">
        <w:rPr>
          <w:rFonts w:ascii="Times New Roman" w:hAnsi="Times New Roman" w:cs="Times New Roman"/>
          <w:b/>
          <w:sz w:val="24"/>
          <w:szCs w:val="24"/>
        </w:rPr>
        <w:t xml:space="preserve"> месяцев 2018года)</w:t>
      </w:r>
    </w:p>
    <w:p w:rsidR="00792BDB" w:rsidRPr="00792BDB" w:rsidRDefault="00792BDB" w:rsidP="00792B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 xml:space="preserve">В </w:t>
      </w:r>
      <w:r w:rsidR="00061A41">
        <w:rPr>
          <w:rFonts w:ascii="Times New Roman" w:hAnsi="Times New Roman" w:cs="Times New Roman"/>
          <w:sz w:val="24"/>
          <w:szCs w:val="24"/>
        </w:rPr>
        <w:t>период с января по сентябрь</w:t>
      </w:r>
      <w:r w:rsidRPr="00792BDB">
        <w:rPr>
          <w:rFonts w:ascii="Times New Roman" w:hAnsi="Times New Roman" w:cs="Times New Roman"/>
          <w:sz w:val="24"/>
          <w:szCs w:val="24"/>
        </w:rPr>
        <w:t xml:space="preserve"> 2018 года наблюдалась положительная динамика развития по большинству макроэкономических показателей.</w:t>
      </w:r>
    </w:p>
    <w:p w:rsidR="00792BDB" w:rsidRPr="00792BDB" w:rsidRDefault="00792BDB" w:rsidP="00792B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рост производства продукции наблюдается в промышленном комплексе. Индекс промышленного производства за январь - </w:t>
      </w:r>
      <w:r w:rsidR="00061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сложился на уровне </w:t>
      </w:r>
      <w:r w:rsid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>119,1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аналогичного периода 2017 года.</w:t>
      </w:r>
    </w:p>
    <w:p w:rsidR="00792BDB" w:rsidRPr="00792BDB" w:rsidRDefault="00792BDB" w:rsidP="00792B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промышленного производства обусловлен увеличением производства транспортных средств, в частности железнодорожных локомотивов.</w:t>
      </w:r>
    </w:p>
    <w:p w:rsidR="00792BDB" w:rsidRPr="00792BDB" w:rsidRDefault="00E6766F" w:rsidP="00792B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</w:t>
      </w:r>
      <w:r w:rsidR="00792BDB"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начительные темпы роста в 2018 году демонстрируют организации сельскохозяйственной отрасли. Объем производства валовой продукции сельского хозяйства </w:t>
      </w:r>
      <w:r w:rsidR="00061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</w:t>
      </w:r>
      <w:r w:rsidR="00792BDB"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104,0</w:t>
      </w:r>
      <w:r w:rsidR="00792BDB"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аналогичному периоду прошлого года в действующих ценах (или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101,1</w:t>
      </w:r>
      <w:r w:rsidR="00792BDB"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% в</w:t>
      </w:r>
      <w:r w:rsidR="0006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сопоставимых).</w:t>
      </w:r>
    </w:p>
    <w:p w:rsidR="00792BDB" w:rsidRPr="00792BDB" w:rsidRDefault="00792BDB" w:rsidP="00792B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- </w:t>
      </w:r>
      <w:r w:rsidR="00061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на территории района построено и введено</w:t>
      </w:r>
      <w:r w:rsidR="002354DE"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застройщиками</w:t>
      </w:r>
      <w:r w:rsidR="00C0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тысяч кв. метров жилья, что составляет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95,7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объему жилья, введённого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октября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ИЖС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92BDB" w:rsidRPr="00792BDB" w:rsidRDefault="00792BDB" w:rsidP="00792B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оборота розничной торговли в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январе - сентябре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сложился в размере </w:t>
      </w:r>
      <w:r w:rsidR="00E6766F">
        <w:rPr>
          <w:rFonts w:ascii="Times New Roman" w:eastAsia="Times New Roman" w:hAnsi="Times New Roman" w:cs="Times New Roman"/>
          <w:sz w:val="24"/>
          <w:szCs w:val="24"/>
          <w:lang w:eastAsia="ru-RU"/>
        </w:rPr>
        <w:t>2904,6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составило к аналогичному периоду 2017 года </w:t>
      </w:r>
      <w:r w:rsidR="00E6766F">
        <w:rPr>
          <w:rFonts w:ascii="Times New Roman" w:eastAsia="Times New Roman" w:hAnsi="Times New Roman" w:cs="Times New Roman"/>
          <w:sz w:val="24"/>
          <w:szCs w:val="24"/>
          <w:lang w:eastAsia="ru-RU"/>
        </w:rPr>
        <w:t>102,0%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сопоставимой оценке. Объем платных услуг, оказанных населению, сложился в размере </w:t>
      </w:r>
      <w:r w:rsidR="00E6766F">
        <w:rPr>
          <w:rFonts w:ascii="Times New Roman" w:eastAsia="Times New Roman" w:hAnsi="Times New Roman" w:cs="Times New Roman"/>
          <w:sz w:val="24"/>
          <w:szCs w:val="24"/>
          <w:lang w:eastAsia="ru-RU"/>
        </w:rPr>
        <w:t>508,8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что к уровню аналогичного периода прошлого года в сопоставимой оценке составило </w:t>
      </w:r>
      <w:r w:rsidR="00E6766F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92BDB" w:rsidRPr="00792BDB" w:rsidRDefault="00792BDB" w:rsidP="00792B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инвестиций в основной капитал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октября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за счет всех источников финансирования составил </w:t>
      </w:r>
      <w:r w:rsidR="00E6766F">
        <w:rPr>
          <w:rFonts w:ascii="Times New Roman" w:eastAsia="Times New Roman" w:hAnsi="Times New Roman" w:cs="Times New Roman"/>
          <w:sz w:val="24"/>
          <w:szCs w:val="24"/>
          <w:lang w:eastAsia="ru-RU"/>
        </w:rPr>
        <w:t>121,0%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сопоставимой оценке к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аналогичному периоду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года.  </w:t>
      </w:r>
    </w:p>
    <w:p w:rsidR="00792BDB" w:rsidRPr="00792BDB" w:rsidRDefault="00792BDB" w:rsidP="0079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на рынке труда характеризуется как стабильная. Численность официально зарегистрированных безработных по состоянию 01.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.2018годв  15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ниже показателя уровня прошлого года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20%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  безработицы  составляет  0,69%.</w:t>
      </w:r>
    </w:p>
    <w:p w:rsidR="00792BDB" w:rsidRPr="00792BDB" w:rsidRDefault="00792BDB" w:rsidP="00792BD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Начисленная средняя заработная плата работающих в крупных и средних организациях района в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январе - августе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составила 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30,0 тысяч 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82,0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уровня заработной платы в среднем в Калужской области. По полному кругу предприятий и организаций района заработная плата в январе-</w:t>
      </w:r>
      <w:r w:rsidR="00235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по оценке составила около </w:t>
      </w:r>
      <w:r w:rsidR="00B755FA">
        <w:rPr>
          <w:rFonts w:ascii="Times New Roman" w:eastAsia="Times New Roman" w:hAnsi="Times New Roman" w:cs="Times New Roman"/>
          <w:sz w:val="24"/>
          <w:szCs w:val="24"/>
          <w:lang w:eastAsia="ru-RU"/>
        </w:rPr>
        <w:t>21,6 тыс.</w:t>
      </w:r>
      <w:r w:rsidRPr="0079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92BDB" w:rsidRDefault="00792BDB" w:rsidP="00792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BDB" w:rsidRP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DB">
        <w:rPr>
          <w:rFonts w:ascii="Times New Roman" w:hAnsi="Times New Roman" w:cs="Times New Roman"/>
          <w:b/>
          <w:sz w:val="24"/>
          <w:szCs w:val="24"/>
        </w:rPr>
        <w:t>Направления социально-экономического развития</w:t>
      </w:r>
    </w:p>
    <w:p w:rsid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DB">
        <w:rPr>
          <w:rFonts w:ascii="Times New Roman" w:hAnsi="Times New Roman" w:cs="Times New Roman"/>
          <w:b/>
          <w:sz w:val="24"/>
          <w:szCs w:val="24"/>
        </w:rPr>
        <w:t>городского поселения «Город Людиново» по отраслям экономики</w:t>
      </w:r>
    </w:p>
    <w:p w:rsidR="00792BDB" w:rsidRDefault="00792BDB" w:rsidP="00792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B" w:rsidRPr="00792BDB" w:rsidRDefault="00792BDB" w:rsidP="00792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BDB">
        <w:rPr>
          <w:rFonts w:ascii="Times New Roman" w:hAnsi="Times New Roman" w:cs="Times New Roman"/>
          <w:b/>
          <w:sz w:val="24"/>
          <w:szCs w:val="24"/>
          <w:u w:val="single"/>
        </w:rPr>
        <w:t>Население и труд</w:t>
      </w:r>
    </w:p>
    <w:p w:rsidR="00792BDB" w:rsidRPr="00792BDB" w:rsidRDefault="00792BDB" w:rsidP="0079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DB">
        <w:rPr>
          <w:rFonts w:ascii="Times New Roman" w:hAnsi="Times New Roman" w:cs="Times New Roman"/>
          <w:sz w:val="24"/>
          <w:szCs w:val="24"/>
        </w:rPr>
        <w:t>Численность населения в городском поселении по состоянию на 01.01.201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2BDB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>
        <w:rPr>
          <w:rFonts w:ascii="Times New Roman" w:hAnsi="Times New Roman" w:cs="Times New Roman"/>
          <w:sz w:val="24"/>
          <w:szCs w:val="24"/>
        </w:rPr>
        <w:t>38,267</w:t>
      </w:r>
      <w:r w:rsidRPr="00792BDB">
        <w:rPr>
          <w:rFonts w:ascii="Times New Roman" w:hAnsi="Times New Roman" w:cs="Times New Roman"/>
          <w:sz w:val="24"/>
          <w:szCs w:val="24"/>
        </w:rPr>
        <w:t xml:space="preserve">  тыс. человек согласно информации Калугастата.  Численность детей в возрасте до 18 лет составила </w:t>
      </w:r>
      <w:r w:rsidR="00665467">
        <w:rPr>
          <w:rFonts w:ascii="Times New Roman" w:hAnsi="Times New Roman" w:cs="Times New Roman"/>
          <w:sz w:val="24"/>
          <w:szCs w:val="24"/>
        </w:rPr>
        <w:t>7,8</w:t>
      </w:r>
      <w:r w:rsidRPr="00792BDB">
        <w:rPr>
          <w:rFonts w:ascii="Times New Roman" w:hAnsi="Times New Roman" w:cs="Times New Roman"/>
          <w:sz w:val="24"/>
          <w:szCs w:val="24"/>
        </w:rPr>
        <w:t xml:space="preserve"> тыс. человек.    В общей численности населения </w:t>
      </w:r>
      <w:r w:rsidR="00695484">
        <w:rPr>
          <w:rFonts w:ascii="Times New Roman" w:hAnsi="Times New Roman" w:cs="Times New Roman"/>
          <w:sz w:val="24"/>
          <w:szCs w:val="24"/>
        </w:rPr>
        <w:t>33,1</w:t>
      </w:r>
      <w:r w:rsidRPr="00792BDB">
        <w:rPr>
          <w:rFonts w:ascii="Times New Roman" w:hAnsi="Times New Roman" w:cs="Times New Roman"/>
          <w:sz w:val="24"/>
          <w:szCs w:val="24"/>
        </w:rPr>
        <w:t xml:space="preserve">%  составляют пенсионеры, </w:t>
      </w:r>
      <w:r w:rsidR="00665467">
        <w:rPr>
          <w:rFonts w:ascii="Times New Roman" w:hAnsi="Times New Roman" w:cs="Times New Roman"/>
          <w:sz w:val="24"/>
          <w:szCs w:val="24"/>
        </w:rPr>
        <w:t>20,4</w:t>
      </w:r>
      <w:r w:rsidRPr="00792BDB">
        <w:rPr>
          <w:rFonts w:ascii="Times New Roman" w:hAnsi="Times New Roman" w:cs="Times New Roman"/>
          <w:sz w:val="24"/>
          <w:szCs w:val="24"/>
        </w:rPr>
        <w:t xml:space="preserve"> % – дети в возрасте до 18 лет.  В экономике городского поселения работает немногим более 14,</w:t>
      </w:r>
      <w:r w:rsidR="00695484">
        <w:rPr>
          <w:rFonts w:ascii="Times New Roman" w:hAnsi="Times New Roman" w:cs="Times New Roman"/>
          <w:sz w:val="24"/>
          <w:szCs w:val="24"/>
        </w:rPr>
        <w:t>4</w:t>
      </w:r>
      <w:r w:rsidRPr="00792BDB">
        <w:rPr>
          <w:rFonts w:ascii="Times New Roman" w:hAnsi="Times New Roman" w:cs="Times New Roman"/>
          <w:sz w:val="24"/>
          <w:szCs w:val="24"/>
        </w:rPr>
        <w:t xml:space="preserve"> тысяч человек, из них 1  тыс. – индивидуальные предприниматели, 13,</w:t>
      </w:r>
      <w:r w:rsidR="00AB0A1F">
        <w:rPr>
          <w:rFonts w:ascii="Times New Roman" w:hAnsi="Times New Roman" w:cs="Times New Roman"/>
          <w:sz w:val="24"/>
          <w:szCs w:val="24"/>
        </w:rPr>
        <w:t>4</w:t>
      </w:r>
      <w:r w:rsidRPr="00792BDB">
        <w:rPr>
          <w:rFonts w:ascii="Times New Roman" w:hAnsi="Times New Roman" w:cs="Times New Roman"/>
          <w:sz w:val="24"/>
          <w:szCs w:val="24"/>
        </w:rPr>
        <w:t xml:space="preserve"> тыс. человек работают на крупных, средних и малых предприятиях и в организациях.</w:t>
      </w:r>
    </w:p>
    <w:p w:rsidR="00AB0A1F" w:rsidRPr="00AB0A1F" w:rsidRDefault="00AB0A1F" w:rsidP="00AB0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базовому варианту прогноза за 3 года среднегодовая численность населения 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37,1</w:t>
      </w: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 и снизится на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 отношению к уровню 2017 года Возр</w:t>
      </w:r>
      <w:r w:rsidR="00FE6A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стно-половая структура населения района будет характеризоваться процессом демографического старения. Показатель демографической нагрузки продолжит свой рост. Тем не менее благодаря мерам, направленным на сохранение здоровья работников на производстве (проводимые диспансеризации и медосмотры), формирование у населения мотивации для ведения здорового образа жизни и создание необходимых условий для этого (реконструкция стадиона, открытие новых спортплощадок и спортзалов, реконструкция лесопарка в Сукремле), ожидается сохранение продолжительности жизни при рождении, снижение общего коэффициента смертности.</w:t>
      </w:r>
    </w:p>
    <w:p w:rsidR="00AB0A1F" w:rsidRPr="00AB0A1F" w:rsidRDefault="00AB0A1F" w:rsidP="00AB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целевому варианту прогноза к 2021 году снижение численности населения будет происходить более медленными темпами и среднегодовая численность населения снизится на 0,6% или на 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человек,   с уровнем 2018 года.</w:t>
      </w:r>
    </w:p>
    <w:p w:rsidR="00A70410" w:rsidRPr="00A70410" w:rsidRDefault="00A70410" w:rsidP="00A70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ситуация на рынке труда района оценивается как стабильная. </w:t>
      </w:r>
    </w:p>
    <w:p w:rsidR="00A70410" w:rsidRPr="00A70410" w:rsidRDefault="00A70410" w:rsidP="00A7041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состоянию на  01.07.2018 на учете  в  органах службы  занятости состояло 187 граждан, ищущих  работу, из них со статусом  безработного- 159 человек, в том числе получали социальные выплаты- 121 человек. </w:t>
      </w:r>
    </w:p>
    <w:p w:rsidR="00A70410" w:rsidRPr="00A70410" w:rsidRDefault="00A70410" w:rsidP="00A7041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  безработицы  составил  0,69%  </w:t>
      </w:r>
      <w:r w:rsidRPr="00A70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экономически активного населения района, что   значительно ниже уровня в аналогичном периоде прошлого года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(1,1%). Уровень безработицы по Калужской  области на конец июня составлял 0,44%.</w:t>
      </w:r>
    </w:p>
    <w:p w:rsidR="00A70410" w:rsidRDefault="00A70410" w:rsidP="00A704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базового сценария, при выполнении соглашений резидентами ОЭЗ по строительству и вводу производств можно ожидать плавного восстановления роста численности занятого населения – на 3,9%. По условиям целевого сценария рост занятых в экономике прогнозируется на уровне 5,2%.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Денежные доходы населения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номинальная начисленная заработная плата работников организаций (по полному кругу) в 2018 году ожидается на уровне 22,1 тыс. рублей, на крупных и средних предприятиях – на уровне 30,0 тысяч рублей.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реальная заработная плата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103,8%.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среднемесячная номинальная (начисленная) заработная плата работников организаций (полный круг) прогнозируется на уровне 23 640 рублей по 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базовому варианту и 23 860 рублей по целевому варианту.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заработная плата в целом по экономике за 2019 - 2021 годы в условиях базового сценария вырастет на 9,2% к уровню 2018 года, по целевому варианту увеличится на 12,2%.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Промышленность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индекс промышленного производства оценивается на уровне 116%, объем отгруженной продукции в фактических ценах составит порядка 12,1 млрд рублей.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долю в промышленном производстве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обрабатывающие производства: по оценке, в 2018 году – 90,0% от общего объема отгруженной продукции составит продукция крупных и средних промышленных предприятий. Будет отгружено товаров на сумму 10,9 млрд. рублей, индекс производства составит 116,2%. Рост производства связан с увеличением объемов выпуска транспортных средств, в частности железнодорожных локомотивов.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рост выпуска промышленной продукции ожидается на уровне 3-5% в сопоставимой оценке к 2018 году. Объем промышленного производства составит 13,0-13,1 млрд. рублей.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планируется рост промышленного производства на 3-4% к предыдущему году, объем отгруженной продукции в действующих ценах ожидается на уровне 14,0 – 14,1 млрд. рублей. В 2021 году индекс промышленного производства составит 100-101,2%, объем отгруженной продукции – 14,6-14,7 млрд. рублей.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темпы роста выпуска продукции предполагаются в производстве транспортных средств,  оборудования, металлургическом производстве.</w:t>
      </w:r>
    </w:p>
    <w:p w:rsidR="00A70410" w:rsidRDefault="00A70410" w:rsidP="00A70410">
      <w:pPr>
        <w:tabs>
          <w:tab w:val="center" w:pos="1445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росту объемов производства промышленной продукции будет способствовать открытие новых производств резидентами ОЭЗ. Объемы производства по резидентам ОЭЗ представлены в целевом варианте прогноза и составят от 300 млн. в 2019 году до 530 млн. рублей в 2021 году.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Малое предпринимательство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ожидается рост количественных и стоимостных показателей деятельности малых предприятий, что связано с государственной поддержкой предпринимательства, внедрением малыми предприятиями новых технологий, модернизацией производственных процессов.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действующих малых предприятий в 2018 году оценивается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единиц. Среднесписочная численность работающих на малых предприятиях, по оценке, составит 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немногим менее 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человек. За период с 2019 по 2021 годы число малых предприятий вырастет на 1,9 – 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процентных пункта.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малых предприятий оценивается в 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 или 103,2% в фактических ценах к уровню 2017 года. 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прогнозируемом периоде 2019 – 2021 годах по базовому варианту прогноза на малых предприятиях число занятых вырастет на 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11-16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2017 года. Объем оборота прогнозируется в размере 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рублей. </w:t>
      </w:r>
    </w:p>
    <w:p w:rsid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целевому варианту прогноза численность занятых за три года вырастет на 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оборот малых предприятий за три года на 21,2% к уровню 2017 года в действующих ценах. </w:t>
      </w:r>
    </w:p>
    <w:p w:rsidR="00A70410" w:rsidRPr="00583A3C" w:rsidRDefault="00A70410" w:rsidP="00A70410">
      <w:pPr>
        <w:tabs>
          <w:tab w:val="center" w:pos="144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Инвестиции</w:t>
      </w:r>
    </w:p>
    <w:p w:rsidR="00A70410" w:rsidRPr="00A70410" w:rsidRDefault="00A70410" w:rsidP="00A704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объем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в основной капитал оценивается на уровне 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 в номинальном выражении, или 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сопоставимой оценке к объемам 2017 года.</w:t>
      </w:r>
    </w:p>
    <w:p w:rsidR="00A70410" w:rsidRPr="00A70410" w:rsidRDefault="00A70410" w:rsidP="00A70410">
      <w:pPr>
        <w:tabs>
          <w:tab w:val="left" w:pos="567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прогнозируется объем инвестиций в размере 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2,0 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млрд. рублей по базовому варианту прогноза. В 2020 – 2021 годах предполагается объем инвестиций до 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6,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 соответственно.</w:t>
      </w:r>
    </w:p>
    <w:p w:rsidR="00A70410" w:rsidRPr="00A70410" w:rsidRDefault="00A70410" w:rsidP="00A704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предстоящий среднесрочный период 2019 - 2021 годов прогнозируется поступление инвестиций в основной капитал 1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рублей. Увеличение темпов роста инвестиций прогнозируется за счет реализации новых проектов на территории особой 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экономической зоны  "Калуга»</w:t>
      </w:r>
      <w:r w:rsidR="00583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модернизации производств крупных и средних предприятий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субъектов малого и среднего предпринимательства.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 инвестиций в основной капитал будут осуществляться как за счет собственных средств, так и за счет привлеченных источников. Доля собственных средств в текущем периоде составляет порядка 20-21%  от общего объема инвестиций.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объем работ, выполненных по виду деятельности "строительство" организациями всех форм собственности, оценивается на уровне 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809,8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рублей, или 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120,0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уровню 2017 года в сопоставимой оценке. 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прогнозный период ожидается положительная динамика объема строительных работ. Темпы роста в базовом варианте составят: в 2019 году – 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 2020 году - 1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9 %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целевому варианту: 2019 году – 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%, 2020 году – 1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>; 2021 году – 115%.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объема строительства в районе связан со строительством жилых домов, созданием, ремонтом и реконструкцией объектов социальной, коммунальной, транспортной инфраструктуры. Значительную долю объема строительных работ составляет строительство объектов на Людиновском участке ОЭЗ ППТ «Людиново».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показатель ввода в эксплуатацию жилых домов составит 11,0 тыс. кв. метров: многоквартирный дом по ул. Щербакова на 2 960 м² и за счет индивидуального жилищного строительства 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кв. метров.  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ввода жилых домов в прогнозируемом периоде 2018 – 2021 годов составит 10 - 11 тыс. кв. метров в год. Доля индивидуального жилищного стро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будет составлять5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6548">
        <w:rPr>
          <w:rFonts w:ascii="Times New Roman" w:eastAsia="Times New Roman" w:hAnsi="Times New Roman" w:cs="Times New Roman"/>
          <w:sz w:val="24"/>
          <w:szCs w:val="24"/>
          <w:lang w:eastAsia="ru-RU"/>
        </w:rPr>
        <w:t>-51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всего введенного жилья.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Потребительский рынок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розничной торговли в 2018 году составит </w:t>
      </w:r>
      <w:r w:rsidR="0065571C">
        <w:rPr>
          <w:rFonts w:ascii="Times New Roman" w:eastAsia="Times New Roman" w:hAnsi="Times New Roman" w:cs="Times New Roman"/>
          <w:sz w:val="24"/>
          <w:szCs w:val="24"/>
          <w:lang w:eastAsia="ru-RU"/>
        </w:rPr>
        <w:t>4,0</w:t>
      </w:r>
      <w:r w:rsidR="00DF02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рублей, или 101,</w:t>
      </w:r>
      <w:r w:rsidR="006557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сопоставимой оценке к уровню 201</w:t>
      </w:r>
      <w:r w:rsidR="006557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потребительском рынке 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6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МСП, осуществляющи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торговую деятельность и оказывающи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услуги населению. Из них: 49,5% - стационарные (магазины) и нестационарные торговые объекты; 42,9 % - организации, оказывающие платные услуги; 7,5% - предприятия общественного питания. На территории 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действует 1 рынок РайПО и две торговые площадки: по ул. Энгельса и ул. Щербакова.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магазины федеральных сетей: ЗАО «Тендер» - «Магнит»; «Пятерочка». Магазины местных торговых сетей: ООО «Альянс»; ПК «ЛюМар»; ООО «Турист»; ООО «Свежий хлеб» и др.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треть оборота розничной торговли обеспечивают федеральные и местные торговые сети - 28,3%.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объем оборота розничной торговли 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вырастет на 1% к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сопоставимой оценке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прогнозируемом периоде 2020-2021 годов предполагается 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так-же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на 1,4 и 1,8% по базовому варианту прогноза, и на 2 и 2,1% по целевому. 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2018 году на душу населения будет реализовано товаров и продукции общественного питания в среднем в месяц на сумму 8,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2021 году ежемесячная продажа товаров и продукции общественного питания на душу населения возрастет до </w:t>
      </w:r>
      <w:r w:rsidR="000C57AE">
        <w:rPr>
          <w:rFonts w:ascii="Times New Roman" w:eastAsia="Times New Roman" w:hAnsi="Times New Roman" w:cs="Times New Roman"/>
          <w:sz w:val="24"/>
          <w:szCs w:val="24"/>
          <w:lang w:eastAsia="ru-RU"/>
        </w:rPr>
        <w:t>10,7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потребления населением платных услуг в значительной мере находится под влиянием ценового фактора, особенно услуги естественных монополий, недостаточно развитой конкурентной среды в сфере оказания отдельных видов услуг. Сохраняется тенденция замещения бесплатных социальных услуг платными.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платных услуг населению в 2018 году в сопоставимой оценке останется на уровне 2017 года и составит 699,4 млн. рублей.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постепенным восстановлением потребительского спроса в 2019 - 2021 годах объемы платных услуг по базовому варианту составят: в 2019 году – 100,4%; в 2020 году – 100,5%; в 2021 году – 100,9%. По целевому варианту – 100,0; 101,0 и 102,0% соответственно.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Ценовая ситуация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влияние на динамику инфляционных ожиданий оказало действие ограничительных санкций, неустойчивая динамика курса рубля, дороговизна кредитных ресурсов, сокращение внутреннего спроса. Вместе с тем идет процесс адаптации к изменениям, складывающимся в экономике. В текущем году наблюдается снижение темпов роста потребительских цен на фоне высокой базы сравнения 2017 года.  В январе - </w:t>
      </w:r>
      <w:r w:rsidR="00A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уровень инфляции по Калужской области составил </w:t>
      </w:r>
      <w:r w:rsidR="00A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3,0 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декабрю 2017 года.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оценке, среднегодовой рост цен в 2018 году составит 103</w:t>
      </w:r>
      <w:r w:rsidR="00A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- 104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70410" w:rsidRPr="00A70410" w:rsidRDefault="00A70410" w:rsidP="00A7041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последующие годы с развитием производств, выпускающих продукцию для потребительского рынка, выравниванием базы сравнения по всем структурным составляющим индекса потребительских цен на товары и услуги, ростом цен в связи с увеличением налога на добавленную стоимость, увеличением потребительского спроса прогнозируется рост индекса потребительских цен, значения которого составят в 2019 году 104,2% по базовому и целевому вариантам.</w:t>
      </w:r>
    </w:p>
    <w:p w:rsidR="00A70410" w:rsidRPr="00A70410" w:rsidRDefault="00A70410" w:rsidP="00A70410">
      <w:pPr>
        <w:tabs>
          <w:tab w:val="center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0410" w:rsidRDefault="00A70410" w:rsidP="00A704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программы.</w:t>
      </w:r>
    </w:p>
    <w:p w:rsidR="00A70410" w:rsidRDefault="00A70410" w:rsidP="00A7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программы - это документы стратегического планирования, содержащие комплекс планируемых мероприятий, взаимоувязанных по задачам, срокам осуществления, исполнителям и ресурсам и обеспечивающие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A70410" w:rsidRDefault="00A70410" w:rsidP="00A7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городское поселение входит в состав муниципального района, параметры социально-экономического развития территории поселения отражаются в муниципальных программах муниципального района «Город Людиново и Людиновский район».</w:t>
      </w:r>
    </w:p>
    <w:p w:rsidR="00A70410" w:rsidRPr="00A70410" w:rsidRDefault="00A70410" w:rsidP="00A7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 муниципального района разрабатываются в соответствии с Перечнем муниципальных программ. Перечень муниципальных программ утвержден Постановлением администрации муниципального района «Город Людиново и Людиновский район» от 22.07.2016 года № 1017 «Об утверждении перечня муниципальных программ муниципального района «Город Людиново и Людиновский район». По состоянию на 01.09.201</w:t>
      </w:r>
      <w:r w:rsidR="00CB42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района реализуется 2</w:t>
      </w:r>
      <w:r w:rsid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составе которых реализуется 37 подпрограмм.</w:t>
      </w:r>
    </w:p>
    <w:p w:rsidR="00A70410" w:rsidRDefault="00A70410" w:rsidP="00A704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общего количества муниципальных программ Людиновского района - 13 программ входят в блок «формирование нового качества жизни», 7 программ – в блок «инновационное развитие и модернизация экономики», </w:t>
      </w:r>
      <w:r w:rsid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61C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блок «эффективное государство».</w:t>
      </w:r>
    </w:p>
    <w:p w:rsidR="00CB421B" w:rsidRPr="00CB421B" w:rsidRDefault="00CB421B" w:rsidP="00CB421B">
      <w:pPr>
        <w:tabs>
          <w:tab w:val="center" w:pos="144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B421B" w:rsidRPr="00CB421B" w:rsidRDefault="00CB421B" w:rsidP="00CB421B">
      <w:pPr>
        <w:tabs>
          <w:tab w:val="center" w:pos="144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программ муниципального района</w:t>
      </w:r>
    </w:p>
    <w:p w:rsidR="00CB421B" w:rsidRPr="00CB421B" w:rsidRDefault="00CB421B" w:rsidP="00CB421B">
      <w:pPr>
        <w:tabs>
          <w:tab w:val="center" w:pos="144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 Людиново и Людиновский район» </w:t>
      </w:r>
    </w:p>
    <w:tbl>
      <w:tblPr>
        <w:tblW w:w="103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62"/>
        <w:gridCol w:w="2835"/>
        <w:gridCol w:w="1844"/>
      </w:tblGrid>
      <w:tr w:rsidR="00CB421B" w:rsidRPr="00CB421B" w:rsidTr="00CB421B">
        <w:tc>
          <w:tcPr>
            <w:tcW w:w="720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ответственных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исполнителей муниципальных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Утверждена Поста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Новлениемадми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нистрации МР</w:t>
            </w:r>
          </w:p>
        </w:tc>
      </w:tr>
      <w:tr w:rsidR="00CB421B" w:rsidRPr="00CB421B" w:rsidTr="00CB421B">
        <w:trPr>
          <w:trHeight w:val="372"/>
        </w:trPr>
        <w:tc>
          <w:tcPr>
            <w:tcW w:w="10361" w:type="dxa"/>
            <w:gridSpan w:val="4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ФОРМИРОВАНИЕ НОВОГО КАЧЕСТВА ЖИЗНИ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75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образования в Людиновском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№1619</w:t>
            </w:r>
          </w:p>
        </w:tc>
      </w:tr>
      <w:tr w:rsidR="00CB421B" w:rsidRPr="00CB421B" w:rsidTr="00CB421B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45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«Молодежь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социального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29.10.2013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№1360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75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«Социальная поддержка граждан в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Людиновскомрайоне»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населения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12.12.2013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№1596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405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 в Людиновском 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 населения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27.03.2017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447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доступным и комфортным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жильем, коммунальными услугами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благоустройство территорий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4069"/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благоустройства,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жилищным фондом и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работе с населением,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дорожного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4069"/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от 30.06.2016 </w:t>
            </w:r>
          </w:p>
          <w:p w:rsidR="00CB421B" w:rsidRPr="00CB421B" w:rsidRDefault="00CB421B" w:rsidP="00CB421B">
            <w:pPr>
              <w:tabs>
                <w:tab w:val="center" w:pos="4069"/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№860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405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рынка труда в Людиновском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 населения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22.20.2013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№1316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28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безопасности жизнедеятель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населения муниципального района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ГО и ЧС,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мобилизационной работе,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юридического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сопровождения,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«ЕДДС»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01.04.2016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340/1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30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в Людиновском районе»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от29.11.2013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№1512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435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туризма в Людиновском 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планирования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инвестиций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28.06.2016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836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28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спорта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Людиновском 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социального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21.01.2017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85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28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«Поддержка развития российского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казачества на территории муниципального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района «Город Людиново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делопроизводства,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кадровой работы,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и взаимодейст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с поселениями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07.07.2015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№1298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28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«Охрана окружающей среды в Людиновском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благоустройства,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дорожного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хозяйства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19.02.2016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157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328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современной городской среды на территории городского поселения «Город Людиново»  на 2018-2022 год»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 благоустройства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26.12.2017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№2339</w:t>
            </w:r>
          </w:p>
        </w:tc>
      </w:tr>
      <w:tr w:rsidR="00CB421B" w:rsidRPr="00CB421B" w:rsidTr="00CB421B">
        <w:trPr>
          <w:trHeight w:val="381"/>
        </w:trPr>
        <w:tc>
          <w:tcPr>
            <w:tcW w:w="10361" w:type="dxa"/>
            <w:gridSpan w:val="4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left="-108"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«ИННОВАЦИОННОЕ РАЗВИТИЕ И МОДЕРНИЗАЦИЯ ЭКОНОМИКИ»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«Экономическое развитие Людиновского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дорожного и муниципа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хозяйства, отделэконо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мического планирования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инвестиций, отдел социальной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населения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№1617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предпринимательства на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муниципального района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экономического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планирования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инвестиций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31.10.2013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№1376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14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«Развитие дорожного хозяйства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дорожного и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07.11.2016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1695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рынков сельскохозяйствен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продукции в Людиновском 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сельского хозяйства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12.11.2013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№1432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left" w:pos="186"/>
                <w:tab w:val="center" w:pos="2991"/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16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системы гидротехни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ческих сооружений на территории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Людиновского района 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дорожного и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31.12.2013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№1747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и деятельность печатного средства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массовой информации МАУ «Редакция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газеты «Людиновский рабочий»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«Редакция газеты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«Людиновский рабочий»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29.11.2013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№1511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«Повышение эффективности использования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топливно-энергетических ресурсов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Calibri" w:hAnsi="Times New Roman" w:cs="Times New Roman"/>
                <w:sz w:val="20"/>
                <w:szCs w:val="20"/>
              </w:rPr>
              <w:t>в Людиновском районе»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жилищным фондом и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 с населением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30.11.2016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№1832</w:t>
            </w:r>
          </w:p>
        </w:tc>
      </w:tr>
      <w:tr w:rsidR="00CB421B" w:rsidRPr="00CB421B" w:rsidTr="00CB421B">
        <w:tc>
          <w:tcPr>
            <w:tcW w:w="10361" w:type="dxa"/>
            <w:gridSpan w:val="4"/>
            <w:shd w:val="clear" w:color="auto" w:fill="auto"/>
            <w:vAlign w:val="center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«ЭФФЕКТИВНОЕ ГОСУДАРСТВО»</w:t>
            </w:r>
          </w:p>
        </w:tc>
      </w:tr>
      <w:tr w:rsidR="00CB421B" w:rsidRPr="00CB421B" w:rsidTr="00CB421B">
        <w:tc>
          <w:tcPr>
            <w:tcW w:w="720" w:type="dxa"/>
            <w:shd w:val="clear" w:color="auto" w:fill="auto"/>
            <w:vAlign w:val="center"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имущественным комплексом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Людиново и Людиновский район</w:t>
            </w:r>
          </w:p>
        </w:tc>
        <w:tc>
          <w:tcPr>
            <w:tcW w:w="2835" w:type="dxa"/>
            <w:shd w:val="clear" w:color="auto" w:fill="auto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имущественных и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земельных отношений</w:t>
            </w:r>
          </w:p>
        </w:tc>
        <w:tc>
          <w:tcPr>
            <w:tcW w:w="1844" w:type="dxa"/>
          </w:tcPr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28.11.2016</w:t>
            </w:r>
          </w:p>
          <w:p w:rsidR="00CB421B" w:rsidRPr="00CB421B" w:rsidRDefault="00CB421B" w:rsidP="00CB421B">
            <w:pPr>
              <w:tabs>
                <w:tab w:val="center" w:pos="14459"/>
              </w:tabs>
              <w:spacing w:after="0" w:line="240" w:lineRule="auto"/>
              <w:ind w:right="-54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№1831</w:t>
            </w:r>
          </w:p>
        </w:tc>
      </w:tr>
      <w:tr w:rsidR="00861C73" w:rsidRPr="00CB421B" w:rsidTr="00CB421B">
        <w:tc>
          <w:tcPr>
            <w:tcW w:w="720" w:type="dxa"/>
            <w:shd w:val="clear" w:color="auto" w:fill="auto"/>
            <w:vAlign w:val="center"/>
          </w:tcPr>
          <w:p w:rsidR="00861C73" w:rsidRPr="00CB421B" w:rsidRDefault="00861C73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861C73" w:rsidRPr="00861C73" w:rsidRDefault="00861C73" w:rsidP="00861C73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7"/>
              <w:rPr>
                <w:rFonts w:ascii="Times New Roman" w:hAnsi="Times New Roman" w:cs="Times New Roman"/>
                <w:sz w:val="20"/>
                <w:szCs w:val="20"/>
              </w:rPr>
            </w:pPr>
            <w:r w:rsidRPr="00861C73">
              <w:rPr>
                <w:rFonts w:ascii="Times New Roman" w:hAnsi="Times New Roman" w:cs="Times New Roman"/>
                <w:sz w:val="20"/>
                <w:szCs w:val="20"/>
              </w:rPr>
              <w:t>Кадровая политика муниципального района «Город</w:t>
            </w:r>
          </w:p>
          <w:p w:rsidR="00861C73" w:rsidRPr="00861C73" w:rsidRDefault="00861C73" w:rsidP="00861C73">
            <w:pPr>
              <w:tabs>
                <w:tab w:val="center" w:pos="14459"/>
              </w:tabs>
              <w:autoSpaceDE w:val="0"/>
              <w:autoSpaceDN w:val="0"/>
              <w:adjustRightInd w:val="0"/>
              <w:spacing w:after="0" w:line="240" w:lineRule="auto"/>
              <w:ind w:right="-5477"/>
              <w:rPr>
                <w:rFonts w:ascii="Times New Roman" w:hAnsi="Times New Roman" w:cs="Times New Roman"/>
                <w:sz w:val="20"/>
                <w:szCs w:val="20"/>
              </w:rPr>
            </w:pPr>
            <w:r w:rsidRPr="00861C73">
              <w:rPr>
                <w:rFonts w:ascii="Times New Roman" w:hAnsi="Times New Roman" w:cs="Times New Roman"/>
                <w:sz w:val="20"/>
                <w:szCs w:val="20"/>
              </w:rPr>
              <w:t xml:space="preserve">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861C73" w:rsidRPr="00861C73" w:rsidRDefault="00861C73" w:rsidP="00861C73">
            <w:pPr>
              <w:tabs>
                <w:tab w:val="center" w:pos="14459"/>
              </w:tabs>
              <w:spacing w:after="0" w:line="240" w:lineRule="auto"/>
              <w:ind w:right="-5477"/>
              <w:rPr>
                <w:rFonts w:ascii="Times New Roman" w:hAnsi="Times New Roman" w:cs="Times New Roman"/>
                <w:sz w:val="20"/>
                <w:szCs w:val="20"/>
              </w:rPr>
            </w:pPr>
            <w:r w:rsidRPr="00861C73">
              <w:rPr>
                <w:rFonts w:ascii="Times New Roman" w:hAnsi="Times New Roman" w:cs="Times New Roman"/>
                <w:sz w:val="20"/>
                <w:szCs w:val="20"/>
              </w:rPr>
              <w:t>отдел делопроизводства, кадровой</w:t>
            </w:r>
          </w:p>
          <w:p w:rsidR="00861C73" w:rsidRPr="00861C73" w:rsidRDefault="00861C73" w:rsidP="00861C73">
            <w:pPr>
              <w:tabs>
                <w:tab w:val="center" w:pos="14459"/>
              </w:tabs>
              <w:spacing w:after="0" w:line="240" w:lineRule="auto"/>
              <w:ind w:right="-5477"/>
              <w:rPr>
                <w:rFonts w:ascii="Times New Roman" w:hAnsi="Times New Roman" w:cs="Times New Roman"/>
                <w:sz w:val="20"/>
                <w:szCs w:val="20"/>
              </w:rPr>
            </w:pPr>
            <w:r w:rsidRPr="00861C73">
              <w:rPr>
                <w:rFonts w:ascii="Times New Roman" w:hAnsi="Times New Roman" w:cs="Times New Roman"/>
                <w:sz w:val="20"/>
                <w:szCs w:val="20"/>
              </w:rPr>
              <w:t xml:space="preserve"> работы, контроля и взаимодейств</w:t>
            </w:r>
          </w:p>
          <w:p w:rsidR="00861C73" w:rsidRPr="00861C73" w:rsidRDefault="00861C73" w:rsidP="00861C73">
            <w:pPr>
              <w:tabs>
                <w:tab w:val="center" w:pos="14459"/>
              </w:tabs>
              <w:spacing w:after="0" w:line="240" w:lineRule="auto"/>
              <w:ind w:right="-5477"/>
              <w:rPr>
                <w:rFonts w:ascii="Times New Roman" w:hAnsi="Times New Roman" w:cs="Times New Roman"/>
                <w:sz w:val="20"/>
                <w:szCs w:val="20"/>
              </w:rPr>
            </w:pPr>
            <w:r w:rsidRPr="00861C73">
              <w:rPr>
                <w:rFonts w:ascii="Times New Roman" w:hAnsi="Times New Roman" w:cs="Times New Roman"/>
                <w:sz w:val="20"/>
                <w:szCs w:val="20"/>
              </w:rPr>
              <w:t>ия с поселениями</w:t>
            </w:r>
          </w:p>
        </w:tc>
        <w:tc>
          <w:tcPr>
            <w:tcW w:w="1844" w:type="dxa"/>
          </w:tcPr>
          <w:p w:rsidR="00861C73" w:rsidRPr="00861C73" w:rsidRDefault="00861C73" w:rsidP="00861C73">
            <w:pPr>
              <w:tabs>
                <w:tab w:val="center" w:pos="14459"/>
              </w:tabs>
              <w:spacing w:after="0" w:line="240" w:lineRule="auto"/>
              <w:ind w:right="-5477"/>
              <w:rPr>
                <w:rFonts w:ascii="Times New Roman" w:hAnsi="Times New Roman" w:cs="Times New Roman"/>
                <w:sz w:val="20"/>
                <w:szCs w:val="20"/>
              </w:rPr>
            </w:pPr>
            <w:r w:rsidRPr="00861C73">
              <w:rPr>
                <w:rFonts w:ascii="Times New Roman" w:hAnsi="Times New Roman" w:cs="Times New Roman"/>
                <w:sz w:val="20"/>
                <w:szCs w:val="20"/>
              </w:rPr>
              <w:t>23.11.2018 №1667</w:t>
            </w:r>
          </w:p>
        </w:tc>
      </w:tr>
    </w:tbl>
    <w:p w:rsidR="00CB421B" w:rsidRPr="00A70410" w:rsidRDefault="00CB421B" w:rsidP="00A704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B" w:rsidRDefault="00CB421B" w:rsidP="00CB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B421B" w:rsidSect="00E6766F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4104" w:type="dxa"/>
        <w:tblInd w:w="93" w:type="dxa"/>
        <w:tblLook w:val="04A0"/>
      </w:tblPr>
      <w:tblGrid>
        <w:gridCol w:w="2751"/>
        <w:gridCol w:w="918"/>
        <w:gridCol w:w="599"/>
        <w:gridCol w:w="995"/>
        <w:gridCol w:w="1118"/>
        <w:gridCol w:w="1134"/>
        <w:gridCol w:w="1147"/>
        <w:gridCol w:w="956"/>
        <w:gridCol w:w="1202"/>
        <w:gridCol w:w="1016"/>
        <w:gridCol w:w="1252"/>
        <w:gridCol w:w="1016"/>
      </w:tblGrid>
      <w:tr w:rsidR="00CB421B" w:rsidRPr="00CB421B" w:rsidTr="00CB421B">
        <w:trPr>
          <w:trHeight w:val="63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3A9" w:rsidRDefault="00CB421B" w:rsidP="004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Прогноз социально-экономического развития </w:t>
            </w:r>
            <w:r w:rsidR="004F0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городского поселения </w:t>
            </w:r>
          </w:p>
          <w:p w:rsidR="00CB421B" w:rsidRPr="00CB421B" w:rsidRDefault="004F03A9" w:rsidP="0036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Людиново</w:t>
            </w:r>
            <w:r w:rsidR="00CB421B" w:rsidRPr="00CB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на 201</w:t>
            </w:r>
            <w:r w:rsidR="0036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B421B" w:rsidRPr="00CB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36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B421B" w:rsidRPr="00CB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21B" w:rsidRPr="00CB421B" w:rsidTr="004027DC">
        <w:trPr>
          <w:trHeight w:val="65"/>
        </w:trPr>
        <w:tc>
          <w:tcPr>
            <w:tcW w:w="4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Ед. измер.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оценка</w:t>
            </w:r>
          </w:p>
        </w:tc>
        <w:tc>
          <w:tcPr>
            <w:tcW w:w="65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CB421B" w:rsidRPr="00CB421B" w:rsidTr="004027DC">
        <w:trPr>
          <w:trHeight w:val="97"/>
        </w:trPr>
        <w:tc>
          <w:tcPr>
            <w:tcW w:w="4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CB421B" w:rsidRPr="00CB421B" w:rsidTr="00CB421B">
        <w:trPr>
          <w:trHeight w:val="412"/>
        </w:trPr>
        <w:tc>
          <w:tcPr>
            <w:tcW w:w="4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вариант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вариант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вариант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вариант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вариант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вариант</w:t>
            </w:r>
          </w:p>
        </w:tc>
      </w:tr>
      <w:tr w:rsidR="00CB421B" w:rsidRPr="00CB421B" w:rsidTr="00CB421B">
        <w:trPr>
          <w:trHeight w:val="510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отгруженной продукции (без НДС и акцизов) всего по разделам С, D, E  ОКВЭД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9 899 888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12 057 156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ind w:left="-95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12 983 911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13 091 990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14 003 581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14 052 700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14 636 630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EE23E3" w:rsidP="00CB421B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14 682 190</w:t>
            </w:r>
          </w:p>
        </w:tc>
      </w:tr>
      <w:tr w:rsidR="00CB421B" w:rsidRPr="00CB421B" w:rsidTr="004027DC">
        <w:trPr>
          <w:trHeight w:val="25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CB421B" w:rsidRPr="00CB421B" w:rsidTr="00CB421B">
        <w:trPr>
          <w:trHeight w:val="346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обрабатывающие крупные и средние производства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8 846 041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10 854 609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11 728 131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ind w:left="-108" w:right="-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11 840 970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12 684 579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12830875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13 264 092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13506290</w:t>
            </w:r>
          </w:p>
        </w:tc>
      </w:tr>
      <w:tr w:rsidR="00CB421B" w:rsidRPr="00CB421B" w:rsidTr="004027DC">
        <w:trPr>
          <w:trHeight w:val="210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CB421B" w:rsidRPr="00CB421B" w:rsidTr="004027DC">
        <w:trPr>
          <w:trHeight w:val="242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продукция  с/х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44629,3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2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0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51040</w:t>
            </w:r>
          </w:p>
        </w:tc>
      </w:tr>
      <w:tr w:rsidR="00CB421B" w:rsidRPr="00CB421B" w:rsidTr="004027DC">
        <w:trPr>
          <w:trHeight w:val="246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2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20558B" w:rsidP="0020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20558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CB421B" w:rsidRPr="00CB421B" w:rsidTr="004027DC">
        <w:trPr>
          <w:trHeight w:val="278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   (объем работ)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809 814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1 177 477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6107A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="00CB421B"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6107A7" w:rsidP="00610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1 377 395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610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1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6107A7" w:rsidP="00A70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70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70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="00A70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A70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70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98120</w:t>
            </w:r>
          </w:p>
        </w:tc>
      </w:tr>
      <w:tr w:rsidR="00CB421B" w:rsidRPr="00CB421B" w:rsidTr="004027DC">
        <w:trPr>
          <w:trHeight w:val="268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B421B"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A70B84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366548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A70B84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CB421B" w:rsidRPr="00CB421B" w:rsidTr="004027DC">
        <w:trPr>
          <w:trHeight w:val="116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1 046 678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1 349 690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1 962 461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2 295 658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2 318 600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6 738 804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6 993 773</w:t>
            </w:r>
          </w:p>
        </w:tc>
      </w:tr>
      <w:tr w:rsidR="00CB421B" w:rsidRPr="00CB421B" w:rsidTr="004027DC">
        <w:trPr>
          <w:trHeight w:val="267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B7427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2,7 раза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6107A7" w:rsidP="004027D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2,</w:t>
            </w:r>
            <w:r w:rsidR="00CB421B"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раза</w:t>
            </w:r>
          </w:p>
        </w:tc>
      </w:tr>
      <w:tr w:rsidR="00CB421B" w:rsidRPr="00CB421B" w:rsidTr="004027DC">
        <w:trPr>
          <w:trHeight w:val="204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товарооборота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A70B84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3 899 120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FD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D7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076 710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FD7FC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4 282 180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FD7FC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D7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FD7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</w:t>
            </w: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0326AA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4 507 128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0326AA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4 578 686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0326AA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4 771 787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0326AA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4 862 050</w:t>
            </w:r>
          </w:p>
        </w:tc>
      </w:tr>
      <w:tr w:rsidR="00CB421B" w:rsidRPr="00CB421B" w:rsidTr="004027DC">
        <w:trPr>
          <w:trHeight w:val="151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A70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A70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FD7FCF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CB421B" w:rsidRPr="00CB421B" w:rsidTr="004027DC">
        <w:trPr>
          <w:trHeight w:val="241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услуг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730 285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761 826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799 430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810 620</w:t>
            </w:r>
          </w:p>
        </w:tc>
      </w:tr>
      <w:tr w:rsidR="00CB421B" w:rsidRPr="00CB421B" w:rsidTr="004027DC">
        <w:trPr>
          <w:trHeight w:val="190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CB421B" w:rsidRPr="00CB421B" w:rsidTr="004027DC">
        <w:trPr>
          <w:trHeight w:val="279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труда,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3 291 986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3 578 580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3 829 680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3 893 952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4 097 790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4 236 588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4 417 824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4 575 252</w:t>
            </w:r>
          </w:p>
        </w:tc>
      </w:tr>
      <w:tr w:rsidR="00CB421B" w:rsidRPr="00CB421B" w:rsidTr="00CB421B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Ср.месячная заработная плата 1 работающего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D02121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04B7F"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D02121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27830</w:t>
            </w:r>
          </w:p>
        </w:tc>
      </w:tr>
      <w:tr w:rsidR="00CB421B" w:rsidRPr="00CB421B" w:rsidTr="00E658FB">
        <w:trPr>
          <w:trHeight w:val="189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CB421B" w:rsidRPr="00CB421B" w:rsidTr="00E658FB">
        <w:trPr>
          <w:trHeight w:val="207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Реальная заработная плата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</w:t>
            </w:r>
          </w:p>
        </w:tc>
      </w:tr>
      <w:tr w:rsidR="00CB421B" w:rsidRPr="00CB421B" w:rsidTr="00CB421B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на к/года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0C57AE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9C3F76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9C3F76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7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</w:t>
            </w:r>
            <w:r w:rsidR="007B2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0C57AE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7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B2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CB421B" w:rsidRPr="00CB421B" w:rsidTr="00CB421B">
        <w:trPr>
          <w:trHeight w:val="159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дети до 18  лет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9C3F76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CB421B" w:rsidRPr="00CB421B" w:rsidTr="00CB421B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работающих в среднегодовом исчислении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9C3F76" w:rsidRDefault="005717D0" w:rsidP="00571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CB421B"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9C3F76" w:rsidRDefault="00CB421B" w:rsidP="0000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04B7F"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04B7F"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9C3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CB421B" w:rsidP="00D0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7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CB421B" w:rsidP="00D0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7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5717D0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5717D0" w:rsidP="00D02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B421B" w:rsidRPr="00CB421B" w:rsidRDefault="005717D0" w:rsidP="00571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5717D0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CB421B" w:rsidRPr="00CB421B" w:rsidTr="00E658FB">
        <w:trPr>
          <w:trHeight w:val="427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реализации товаров, продукции, работ, услуг 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DF02A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DF02A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19 210,2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DF02AB" w:rsidRDefault="00DF02A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20 528,6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F02A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20 666,0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F02A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21 991,9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F02A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22 069,0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F02AB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22 935,4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F02AB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23 015,0</w:t>
            </w:r>
          </w:p>
        </w:tc>
      </w:tr>
      <w:tr w:rsidR="00CB421B" w:rsidRPr="00CB421B" w:rsidTr="00CB421B">
        <w:trPr>
          <w:trHeight w:val="249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малых предприятий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D02121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D02121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</w:tr>
      <w:tr w:rsidR="00CB421B" w:rsidRPr="00CB421B" w:rsidTr="00CB421B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работающих на малых предприятиях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CB421B" w:rsidRDefault="00CB421B" w:rsidP="00CB4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</w:t>
            </w:r>
            <w:r w:rsidRPr="00CB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D02121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21B" w:rsidRPr="00D02121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21B" w:rsidRPr="00CB421B" w:rsidRDefault="00D02121" w:rsidP="00CB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</w:tbl>
    <w:p w:rsidR="00CB421B" w:rsidRPr="00CB421B" w:rsidRDefault="00CB421B" w:rsidP="00CB421B">
      <w:pPr>
        <w:tabs>
          <w:tab w:val="center" w:pos="14459"/>
        </w:tabs>
        <w:spacing w:after="0" w:line="240" w:lineRule="auto"/>
        <w:ind w:right="-54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1B" w:rsidRPr="00792BDB" w:rsidRDefault="00CB421B" w:rsidP="00792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421B" w:rsidRPr="00792BDB" w:rsidSect="004027D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D1" w:rsidRDefault="009636D1" w:rsidP="00861C73">
      <w:pPr>
        <w:spacing w:after="0" w:line="240" w:lineRule="auto"/>
      </w:pPr>
      <w:r>
        <w:separator/>
      </w:r>
    </w:p>
  </w:endnote>
  <w:endnote w:type="continuationSeparator" w:id="1">
    <w:p w:rsidR="009636D1" w:rsidRDefault="009636D1" w:rsidP="0086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D1" w:rsidRDefault="009636D1" w:rsidP="00861C73">
      <w:pPr>
        <w:spacing w:after="0" w:line="240" w:lineRule="auto"/>
      </w:pPr>
      <w:r>
        <w:separator/>
      </w:r>
    </w:p>
  </w:footnote>
  <w:footnote w:type="continuationSeparator" w:id="1">
    <w:p w:rsidR="009636D1" w:rsidRDefault="009636D1" w:rsidP="00861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BDB"/>
    <w:rsid w:val="00004B7F"/>
    <w:rsid w:val="000326AA"/>
    <w:rsid w:val="00051514"/>
    <w:rsid w:val="00061A41"/>
    <w:rsid w:val="000C57AE"/>
    <w:rsid w:val="0020558B"/>
    <w:rsid w:val="002354DE"/>
    <w:rsid w:val="00254CD8"/>
    <w:rsid w:val="00321182"/>
    <w:rsid w:val="00366548"/>
    <w:rsid w:val="004027DC"/>
    <w:rsid w:val="00407813"/>
    <w:rsid w:val="00474519"/>
    <w:rsid w:val="004945AC"/>
    <w:rsid w:val="004A6EA2"/>
    <w:rsid w:val="004F03A9"/>
    <w:rsid w:val="00510092"/>
    <w:rsid w:val="005571DB"/>
    <w:rsid w:val="005717D0"/>
    <w:rsid w:val="00583A3C"/>
    <w:rsid w:val="005A5996"/>
    <w:rsid w:val="00601D9B"/>
    <w:rsid w:val="0060376E"/>
    <w:rsid w:val="006107A7"/>
    <w:rsid w:val="0065571C"/>
    <w:rsid w:val="00665467"/>
    <w:rsid w:val="00695484"/>
    <w:rsid w:val="00792BDB"/>
    <w:rsid w:val="007B230B"/>
    <w:rsid w:val="007D0090"/>
    <w:rsid w:val="007D00C5"/>
    <w:rsid w:val="00836248"/>
    <w:rsid w:val="00861C73"/>
    <w:rsid w:val="009636D1"/>
    <w:rsid w:val="009C3F76"/>
    <w:rsid w:val="00A70410"/>
    <w:rsid w:val="00A70B84"/>
    <w:rsid w:val="00A70F5F"/>
    <w:rsid w:val="00AB0A1F"/>
    <w:rsid w:val="00AF12F1"/>
    <w:rsid w:val="00B7427F"/>
    <w:rsid w:val="00B755FA"/>
    <w:rsid w:val="00C01C63"/>
    <w:rsid w:val="00C73B6D"/>
    <w:rsid w:val="00CB421B"/>
    <w:rsid w:val="00D02121"/>
    <w:rsid w:val="00D03C06"/>
    <w:rsid w:val="00DF02AB"/>
    <w:rsid w:val="00E658FB"/>
    <w:rsid w:val="00E6766F"/>
    <w:rsid w:val="00EE23E3"/>
    <w:rsid w:val="00FA37A9"/>
    <w:rsid w:val="00FD7FCF"/>
    <w:rsid w:val="00FE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C73"/>
  </w:style>
  <w:style w:type="paragraph" w:styleId="a7">
    <w:name w:val="footer"/>
    <w:basedOn w:val="a"/>
    <w:link w:val="a8"/>
    <w:uiPriority w:val="99"/>
    <w:unhideWhenUsed/>
    <w:rsid w:val="0086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C73"/>
  </w:style>
  <w:style w:type="paragraph" w:styleId="a7">
    <w:name w:val="footer"/>
    <w:basedOn w:val="a"/>
    <w:link w:val="a8"/>
    <w:uiPriority w:val="99"/>
    <w:unhideWhenUsed/>
    <w:rsid w:val="0086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9</cp:revision>
  <cp:lastPrinted>2018-11-26T13:43:00Z</cp:lastPrinted>
  <dcterms:created xsi:type="dcterms:W3CDTF">2018-11-20T06:31:00Z</dcterms:created>
  <dcterms:modified xsi:type="dcterms:W3CDTF">2018-12-10T08:21:00Z</dcterms:modified>
</cp:coreProperties>
</file>